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E1655">
      <w:pPr>
        <w:keepNext w:val="0"/>
        <w:keepLines w:val="0"/>
        <w:pageBreakBefore w:val="0"/>
        <w:widowControl w:val="0"/>
        <w:kinsoku/>
        <w:wordWrap/>
        <w:overflowPunct/>
        <w:topLinePunct w:val="0"/>
        <w:autoSpaceDE/>
        <w:autoSpaceDN/>
        <w:bidi w:val="0"/>
        <w:adjustRightInd/>
        <w:snapToGrid/>
        <w:spacing w:after="0" w:line="553" w:lineRule="exact"/>
        <w:jc w:val="center"/>
        <w:textAlignment w:val="auto"/>
        <w:rPr>
          <w:rFonts w:hint="eastAsia" w:ascii="方正小标宋_GBK" w:eastAsia="方正小标宋_GBK"/>
          <w:sz w:val="44"/>
          <w:szCs w:val="48"/>
        </w:rPr>
      </w:pPr>
      <w:r>
        <w:rPr>
          <w:rFonts w:hint="eastAsia" w:ascii="方正小标宋_GBK" w:eastAsia="方正小标宋_GBK"/>
          <w:sz w:val="44"/>
          <w:szCs w:val="48"/>
        </w:rPr>
        <w:t>《兴化市传统村落集中连片保护利用建设规划》批前公示稿（简本）</w:t>
      </w:r>
    </w:p>
    <w:p w14:paraId="401144C3">
      <w:pPr>
        <w:pStyle w:val="11"/>
        <w:keepNext w:val="0"/>
        <w:keepLines w:val="0"/>
        <w:pageBreakBefore w:val="0"/>
        <w:widowControl w:val="0"/>
        <w:kinsoku/>
        <w:wordWrap/>
        <w:overflowPunct/>
        <w:topLinePunct w:val="0"/>
        <w:autoSpaceDE/>
        <w:autoSpaceDN/>
        <w:bidi w:val="0"/>
        <w:adjustRightInd/>
        <w:snapToGrid/>
        <w:spacing w:after="0" w:line="553" w:lineRule="exact"/>
        <w:jc w:val="left"/>
        <w:textAlignment w:val="auto"/>
        <w:outlineLvl w:val="0"/>
        <w:rPr>
          <w:rFonts w:hint="eastAsia" w:ascii="Times New Roman" w:hAnsi="Times New Roman" w:eastAsia="方正黑体_GBK"/>
          <w:i w:val="0"/>
          <w:iCs w:val="0"/>
          <w:color w:val="000000" w:themeColor="text1"/>
          <w:sz w:val="32"/>
          <w:szCs w:val="32"/>
          <w14:textFill>
            <w14:solidFill>
              <w14:schemeClr w14:val="tx1"/>
            </w14:solidFill>
          </w14:textFill>
        </w:rPr>
      </w:pPr>
    </w:p>
    <w:p w14:paraId="6CA54787">
      <w:pPr>
        <w:pStyle w:val="11"/>
        <w:keepNext w:val="0"/>
        <w:keepLines w:val="0"/>
        <w:pageBreakBefore w:val="0"/>
        <w:widowControl w:val="0"/>
        <w:kinsoku/>
        <w:wordWrap/>
        <w:overflowPunct/>
        <w:topLinePunct w:val="0"/>
        <w:autoSpaceDE/>
        <w:autoSpaceDN/>
        <w:bidi w:val="0"/>
        <w:adjustRightInd/>
        <w:snapToGrid/>
        <w:spacing w:after="0" w:line="553" w:lineRule="exact"/>
        <w:jc w:val="left"/>
        <w:textAlignment w:val="auto"/>
        <w:outlineLvl w:val="0"/>
        <w:rPr>
          <w:rFonts w:ascii="Times New Roman" w:hAnsi="Times New Roman" w:eastAsia="方正黑体_GBK"/>
          <w:i w:val="0"/>
          <w:iCs w:val="0"/>
          <w:color w:val="000000" w:themeColor="text1"/>
          <w:sz w:val="32"/>
          <w:szCs w:val="32"/>
          <w14:textFill>
            <w14:solidFill>
              <w14:schemeClr w14:val="tx1"/>
            </w14:solidFill>
          </w14:textFill>
        </w:rPr>
      </w:pPr>
      <w:r>
        <w:rPr>
          <w:rFonts w:hint="eastAsia" w:ascii="Times New Roman" w:hAnsi="Times New Roman" w:eastAsia="方正黑体_GBK"/>
          <w:i w:val="0"/>
          <w:iCs w:val="0"/>
          <w:color w:val="000000" w:themeColor="text1"/>
          <w:sz w:val="32"/>
          <w:szCs w:val="32"/>
          <w14:textFill>
            <w14:solidFill>
              <w14:schemeClr w14:val="tx1"/>
            </w14:solidFill>
          </w14:textFill>
        </w:rPr>
        <w:t>一、规划编制背景</w:t>
      </w:r>
    </w:p>
    <w:p w14:paraId="49944520">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1、国家和省高度重视传统村落保护</w:t>
      </w:r>
    </w:p>
    <w:p w14:paraId="6182D7D3">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近年来，国家层面将传统村落集中连片保护利用作为重点抓手，在这一背景下，江苏省积极落实国家部署，率先推动省级传统村落集中连片保护利用建设。2024年，兴化市凭借突出的资源优势和扎实的工作基础，成功入选第二批江苏省传统村落集中连片保护利用建设名单。</w:t>
      </w:r>
    </w:p>
    <w:p w14:paraId="2FF10FD8">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2、里下河地区传统文化特色突出</w:t>
      </w:r>
    </w:p>
    <w:p w14:paraId="5C20B4F0">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在里下河地区众多县域中，兴化集中体现了该区域的自然与人文特质。地理上，兴化位于全区地势最低洼的“锅底洼”，河网纵横、湖荡遍布，是里下河“水乡泽国”风貌的突出代表。文化上，兴化历史文脉绵长深厚、保存完整。</w:t>
      </w:r>
    </w:p>
    <w:p w14:paraId="1CAB009B">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3、兴化市乡村振兴工作基础扎实</w:t>
      </w:r>
    </w:p>
    <w:p w14:paraId="1E87F8E0">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在推进乡村振兴实践中，兴化市高度重视文化特色挖掘、彰显与利用，着力推动文化资源转化为发展动能。</w:t>
      </w:r>
      <w:r>
        <w:rPr>
          <w:rFonts w:hint="eastAsia" w:ascii="宋体" w:hAnsi="宋体"/>
          <w:i w:val="0"/>
          <w:iCs w:val="0"/>
          <w:color w:val="000000" w:themeColor="text1"/>
          <w:sz w:val="32"/>
          <w:szCs w:val="32"/>
          <w:highlight w:val="none"/>
          <w14:textFill>
            <w14:solidFill>
              <w14:schemeClr w14:val="tx1"/>
            </w14:solidFill>
          </w14:textFill>
        </w:rPr>
        <w:t>全市省级特色田园乡村、省级宜居宜业和美乡村均具有鲜明的文化内核，其中近半数</w:t>
      </w:r>
      <w:r>
        <w:rPr>
          <w:rFonts w:hint="eastAsia" w:ascii="宋体" w:hAnsi="宋体"/>
          <w:i w:val="0"/>
          <w:iCs w:val="0"/>
          <w:color w:val="000000" w:themeColor="text1"/>
          <w:sz w:val="32"/>
          <w:szCs w:val="32"/>
          <w:highlight w:val="none"/>
          <w:lang w:val="en-US" w:eastAsia="zh-CN"/>
          <w14:textFill>
            <w14:solidFill>
              <w14:schemeClr w14:val="tx1"/>
            </w14:solidFill>
          </w14:textFill>
        </w:rPr>
        <w:t>省级特色田园乡村</w:t>
      </w:r>
      <w:r>
        <w:rPr>
          <w:rFonts w:hint="eastAsia" w:ascii="宋体" w:hAnsi="宋体"/>
          <w:i w:val="0"/>
          <w:iCs w:val="0"/>
          <w:color w:val="000000" w:themeColor="text1"/>
          <w:sz w:val="32"/>
          <w:szCs w:val="32"/>
          <w:highlight w:val="none"/>
          <w14:textFill>
            <w14:solidFill>
              <w14:schemeClr w14:val="tx1"/>
            </w14:solidFill>
          </w14:textFill>
        </w:rPr>
        <w:t>为江苏省传统村落。</w:t>
      </w:r>
    </w:p>
    <w:p w14:paraId="27CC8449">
      <w:pPr>
        <w:pStyle w:val="11"/>
        <w:keepNext w:val="0"/>
        <w:keepLines w:val="0"/>
        <w:pageBreakBefore w:val="0"/>
        <w:widowControl w:val="0"/>
        <w:kinsoku/>
        <w:wordWrap/>
        <w:overflowPunct/>
        <w:topLinePunct w:val="0"/>
        <w:autoSpaceDE/>
        <w:autoSpaceDN/>
        <w:bidi w:val="0"/>
        <w:adjustRightInd/>
        <w:snapToGrid/>
        <w:spacing w:after="0" w:line="553" w:lineRule="exact"/>
        <w:jc w:val="left"/>
        <w:textAlignment w:val="auto"/>
        <w:outlineLvl w:val="0"/>
        <w:rPr>
          <w:rFonts w:ascii="Times New Roman" w:hAnsi="Times New Roman" w:eastAsia="方正黑体_GBK"/>
          <w:i w:val="0"/>
          <w:iCs w:val="0"/>
          <w:color w:val="000000" w:themeColor="text1"/>
          <w:sz w:val="32"/>
          <w:szCs w:val="32"/>
          <w14:textFill>
            <w14:solidFill>
              <w14:schemeClr w14:val="tx1"/>
            </w14:solidFill>
          </w14:textFill>
        </w:rPr>
      </w:pPr>
      <w:r>
        <w:rPr>
          <w:rFonts w:hint="eastAsia" w:ascii="Times New Roman" w:hAnsi="Times New Roman" w:eastAsia="方正黑体_GBK"/>
          <w:i w:val="0"/>
          <w:iCs w:val="0"/>
          <w:color w:val="000000" w:themeColor="text1"/>
          <w:sz w:val="32"/>
          <w:szCs w:val="32"/>
          <w14:textFill>
            <w14:solidFill>
              <w14:schemeClr w14:val="tx1"/>
            </w14:solidFill>
          </w14:textFill>
        </w:rPr>
        <w:t>二、区域特色价值</w:t>
      </w:r>
    </w:p>
    <w:p w14:paraId="117853C8">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1、文化资源</w:t>
      </w:r>
    </w:p>
    <w:p w14:paraId="2FF3D160">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截至目前，兴化市共有29个江苏省传统村落，其中沙沟镇石梁村入选中国传统村落保护名录。</w:t>
      </w:r>
    </w:p>
    <w:p w14:paraId="2D68C7FA">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目前，兴化乡村地区保存有世界灌溉工程遗产1项、全球重要农业文化遗产1项；各级文保单位70处，未定级不可移动文物101处；历史建筑35处；古树名木16处；各级非物质文化遗产代表性项目145项；各级非遗传承人105人。在传统村落中，保存各级文物保护单位17处；历史建筑6处；各级非遗项目13项；各级非遗传承人5人。</w:t>
      </w:r>
    </w:p>
    <w:p w14:paraId="7F05A54C">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2、特色价值</w:t>
      </w:r>
    </w:p>
    <w:p w14:paraId="6246250A">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（1）踞里下河腹地中心、淮扬与海盐文化亚区交汇处的区域交流枢纽</w:t>
      </w:r>
    </w:p>
    <w:p w14:paraId="30594903">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区域交融层面，兴化位居里下河腹地中心、地处淮扬与海盐文化亚区交汇处，是区域文化交流的枢纽，孕育了南北文明交流产生的史前遗址</w:t>
      </w:r>
      <w:r>
        <w:rPr>
          <w:rFonts w:hint="eastAsia" w:ascii="宋体" w:hAnsi="宋体"/>
          <w:i w:val="0"/>
          <w:iCs w:val="0"/>
          <w:sz w:val="32"/>
          <w:szCs w:val="32"/>
          <w:lang w:val="en-US" w:eastAsia="zh-CN"/>
        </w:rPr>
        <w:t>以</w:t>
      </w:r>
      <w:r>
        <w:rPr>
          <w:rFonts w:hint="eastAsia" w:ascii="宋体" w:hAnsi="宋体"/>
          <w:i w:val="0"/>
          <w:iCs w:val="0"/>
          <w:sz w:val="32"/>
          <w:szCs w:val="32"/>
        </w:rPr>
        <w:t>及联通两大文化亚区的漕运网络。</w:t>
      </w:r>
    </w:p>
    <w:p w14:paraId="55F5169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（2）具有独一无二湿地农业灌排系统的世界垛田之乡</w:t>
      </w:r>
    </w:p>
    <w:p w14:paraId="376DF618">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农耕文明层面，兴化垛田传统农业系统与兴化垛田灌排工程体系，是全球重要农业文化遗产和世界灌溉工程遗产，共同见证了兴化先民把沼泽变良田的生态智慧。</w:t>
      </w:r>
    </w:p>
    <w:p w14:paraId="4317C0E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（3）承载因水制宜营居智慧的里下河聚落典范</w:t>
      </w:r>
    </w:p>
    <w:p w14:paraId="1D2184F6">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人居建设层面，兴化的村庄聚落是里下河地区湿地适应性人居建设的典范，呈现出“水—田—居”耦合共生的聚落格局，并囊括具有里下河水乡特色的乡土建筑。</w:t>
      </w:r>
    </w:p>
    <w:p w14:paraId="213D7CB2">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（4）见证里下河地区人文精神汇聚的水乡文化高地</w:t>
      </w:r>
    </w:p>
    <w:p w14:paraId="385EE7B0">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人文精神层面，耕读传家的儒学文化、因水而兴的市井民俗、刚柔并济的名人故事、烽火淬炼的革命文化等共同塑造了兴化这片里下河的水乡文化高地。</w:t>
      </w:r>
    </w:p>
    <w:p w14:paraId="10DF9946">
      <w:pPr>
        <w:pStyle w:val="11"/>
        <w:keepNext w:val="0"/>
        <w:keepLines w:val="0"/>
        <w:pageBreakBefore w:val="0"/>
        <w:widowControl w:val="0"/>
        <w:kinsoku/>
        <w:wordWrap/>
        <w:overflowPunct/>
        <w:topLinePunct w:val="0"/>
        <w:autoSpaceDE/>
        <w:autoSpaceDN/>
        <w:bidi w:val="0"/>
        <w:adjustRightInd/>
        <w:snapToGrid/>
        <w:spacing w:after="0" w:line="553" w:lineRule="exact"/>
        <w:jc w:val="left"/>
        <w:textAlignment w:val="auto"/>
        <w:outlineLvl w:val="0"/>
        <w:rPr>
          <w:rFonts w:ascii="Times New Roman" w:hAnsi="Times New Roman" w:eastAsia="方正黑体_GBK"/>
          <w:i w:val="0"/>
          <w:iCs w:val="0"/>
          <w:color w:val="000000" w:themeColor="text1"/>
          <w:sz w:val="32"/>
          <w:szCs w:val="32"/>
          <w14:textFill>
            <w14:solidFill>
              <w14:schemeClr w14:val="tx1"/>
            </w14:solidFill>
          </w14:textFill>
        </w:rPr>
      </w:pPr>
      <w:r>
        <w:rPr>
          <w:rFonts w:hint="eastAsia" w:ascii="Times New Roman" w:hAnsi="Times New Roman" w:eastAsia="方正黑体_GBK"/>
          <w:i w:val="0"/>
          <w:iCs w:val="0"/>
          <w:color w:val="000000" w:themeColor="text1"/>
          <w:sz w:val="32"/>
          <w:szCs w:val="32"/>
          <w14:textFill>
            <w14:solidFill>
              <w14:schemeClr w14:val="tx1"/>
            </w14:solidFill>
          </w14:textFill>
        </w:rPr>
        <w:t>三、总体目标定位</w:t>
      </w:r>
    </w:p>
    <w:p w14:paraId="4104C11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基于兴化作为区域枢纽、垛田之乡、聚落典范与文化高地的核心价值，结合泰州市与兴化市两级发展要求，规划提出如下目标定位：</w:t>
      </w:r>
    </w:p>
    <w:p w14:paraId="26251B2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——江苏里下河农耕文明的集中展示窗口；</w:t>
      </w:r>
    </w:p>
    <w:p w14:paraId="33DC40D5">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——文化特色突出、百姓共同富裕的现代鱼米之乡；</w:t>
      </w:r>
    </w:p>
    <w:p w14:paraId="23AFF20A">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——垛、水、村共生共兴的宜居宜业典范。</w:t>
      </w:r>
    </w:p>
    <w:p w14:paraId="571EC2BC">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基于上述目标，确立地方保护发展愿景为：“里下文华·垛上水乡”。</w:t>
      </w:r>
    </w:p>
    <w:p w14:paraId="2AF6A1D0">
      <w:pPr>
        <w:pStyle w:val="11"/>
        <w:keepNext w:val="0"/>
        <w:keepLines w:val="0"/>
        <w:pageBreakBefore w:val="0"/>
        <w:widowControl w:val="0"/>
        <w:kinsoku/>
        <w:wordWrap/>
        <w:overflowPunct/>
        <w:topLinePunct w:val="0"/>
        <w:autoSpaceDE/>
        <w:autoSpaceDN/>
        <w:bidi w:val="0"/>
        <w:adjustRightInd/>
        <w:snapToGrid/>
        <w:spacing w:after="0" w:line="553" w:lineRule="exact"/>
        <w:jc w:val="left"/>
        <w:textAlignment w:val="auto"/>
        <w:outlineLvl w:val="0"/>
        <w:rPr>
          <w:rFonts w:ascii="Times New Roman" w:hAnsi="Times New Roman" w:eastAsia="方正黑体_GBK"/>
          <w:i w:val="0"/>
          <w:iCs w:val="0"/>
          <w:color w:val="000000" w:themeColor="text1"/>
          <w:sz w:val="32"/>
          <w:szCs w:val="32"/>
          <w14:textFill>
            <w14:solidFill>
              <w14:schemeClr w14:val="tx1"/>
            </w14:solidFill>
          </w14:textFill>
        </w:rPr>
      </w:pPr>
      <w:r>
        <w:rPr>
          <w:rFonts w:hint="eastAsia" w:ascii="Times New Roman" w:hAnsi="Times New Roman" w:eastAsia="方正黑体_GBK"/>
          <w:i w:val="0"/>
          <w:iCs w:val="0"/>
          <w:color w:val="000000" w:themeColor="text1"/>
          <w:sz w:val="32"/>
          <w:szCs w:val="32"/>
          <w14:textFill>
            <w14:solidFill>
              <w14:schemeClr w14:val="tx1"/>
            </w14:solidFill>
          </w14:textFill>
        </w:rPr>
        <w:t>四、系统保护框架</w:t>
      </w:r>
    </w:p>
    <w:p w14:paraId="3CAFD078">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1、保护格局构建</w:t>
      </w:r>
    </w:p>
    <w:p w14:paraId="2D15BE98">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w:t>
      </w:r>
      <w:r>
        <w:rPr>
          <w:rFonts w:ascii="宋体" w:hAnsi="宋体"/>
          <w:i w:val="0"/>
          <w:iCs w:val="0"/>
          <w:sz w:val="32"/>
          <w:szCs w:val="32"/>
        </w:rPr>
        <w:t>严守底线管控</w:t>
      </w:r>
    </w:p>
    <w:p w14:paraId="1B8725D8">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严格落实生态保护红线管控、省级生态空间管控、永久基本农田保护、河道管理保护、水利工程管理等管控要求。</w:t>
      </w:r>
    </w:p>
    <w:p w14:paraId="55EEBF50">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（2）融入城乡历史文化保护传承体系</w:t>
      </w:r>
    </w:p>
    <w:p w14:paraId="437AE9C0">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市域全盘统筹保护，将传统村落保护利用融入兴化国家历史文化名城、历史文化名镇、历史文化街区的保护体系中。</w:t>
      </w:r>
    </w:p>
    <w:p w14:paraId="200E0D25">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（3）建立兴化“两片两廊三单元”保护格局</w:t>
      </w:r>
    </w:p>
    <w:p w14:paraId="4E02440F">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规划形成“两片两廊三单元”的总体保护格局。“两片”为湖荡垛田片区、河渠大圩片区，“两廊”为下官河-卤汀河水利文化廊道、盐靖河水利文化廊道，“三单元”即垛田农耕景观单元、湖泊渔耕景观单元与河网圩耕景观单元。</w:t>
      </w:r>
    </w:p>
    <w:p w14:paraId="59F82E13">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2、自然本底保护</w:t>
      </w:r>
    </w:p>
    <w:p w14:paraId="79234AC4">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以蚌蜒河、海沟河、渭水河、盐靖河为界，将兴化划分为湖荡密布、垛田集中、小圩为主的湖荡垛田片区，及河渠分割、规整大圩的河渠大圩片区。针对湖荡垛田片区，保护垛田空间形式、重要农业景观、垛田生产方式；针对河渠大圩片区，保护大圩功能构成、圩田空间形态、圩田农业景观。</w:t>
      </w:r>
    </w:p>
    <w:p w14:paraId="460494E6">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3、文化廊道保护</w:t>
      </w:r>
    </w:p>
    <w:p w14:paraId="2334552C">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兴化市重点形成两条水利文化廊道，其中下官河-卤汀河文化廊为主要廊道，盐靖河文化廊为次要廊道。针对文化廊道，需保护历史河道，保护沿线资源，协调沿岸风貌。</w:t>
      </w:r>
    </w:p>
    <w:p w14:paraId="333F3156">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4、景观单元保护</w:t>
      </w:r>
    </w:p>
    <w:p w14:paraId="79CC7D9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ascii="宋体" w:hAnsi="宋体"/>
          <w:i w:val="0"/>
          <w:iCs w:val="0"/>
          <w:sz w:val="32"/>
          <w:szCs w:val="32"/>
        </w:rPr>
      </w:pPr>
      <w:r>
        <w:rPr>
          <w:rFonts w:hint="eastAsia" w:ascii="宋体" w:hAnsi="宋体"/>
          <w:i w:val="0"/>
          <w:iCs w:val="0"/>
          <w:sz w:val="32"/>
          <w:szCs w:val="32"/>
        </w:rPr>
        <w:t>围绕垛田、圩田、滨湖鱼塘三类独特的农田系统，经过自然、人居、产业与文化的长期深度交融，兴化形成了垛田农耕、湖泊渔耕与河网圩耕三类景观单元。</w:t>
      </w:r>
    </w:p>
    <w:p w14:paraId="0CC3895A">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（1）垛田农耕单元</w:t>
      </w:r>
    </w:p>
    <w:p w14:paraId="54BC09AA">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该类单元呈现出“垛田为主、田块肌理细密”的农田景观与“湖荡岛屿式”聚落形态。保护重点聚焦湖荡水网自然基底、历史垛田斑块、湖荡岛屿型聚落空间三大核心要素。</w:t>
      </w:r>
    </w:p>
    <w:p w14:paraId="00E8155D">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（2）湖泊渔耕单元</w:t>
      </w:r>
    </w:p>
    <w:p w14:paraId="509E6B2B">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该类单元呈现出“方格网状鱼塘”的农田景观与“湖岸团块状聚居”的典型聚落格局。保护重点围绕蜈蚣湖与平旺湖本体、规模式鱼塘景观、湖岸团块型聚落空间展开。</w:t>
      </w:r>
    </w:p>
    <w:p w14:paraId="0E78624B">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（3）河网圩耕单元</w:t>
      </w:r>
    </w:p>
    <w:p w14:paraId="5B18F6E5">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该类单元呈现出“古圩堤围合的大块圩田”农业景观与“水网分割式聚居”的聚落形态。保护重点聚焦清朝修建古圩堤、大圩农田肌理、水网分割型聚落空间三大要点。</w:t>
      </w:r>
    </w:p>
    <w:p w14:paraId="5196EF12">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5、特色要素保护</w:t>
      </w:r>
    </w:p>
    <w:p w14:paraId="04C340BB">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（1）建筑要素</w:t>
      </w:r>
    </w:p>
    <w:p w14:paraId="2037C2DE">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保护片区内27处文物保护单位建筑，其中传统村落内4处；保护片区内35处历史建筑，其中传统村落内6处。保护片区内9处传统建筑组群。保护各传统村落内传统建筑。</w:t>
      </w:r>
    </w:p>
    <w:p w14:paraId="646A5C2B">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（2）历史环境要素</w:t>
      </w:r>
    </w:p>
    <w:p w14:paraId="3260C70B">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保护片区内36处文物保护单位历史环境要素，其中传统村落内12处。保护传统村落内闸坝、古桥、古树、古井、河埠、牌坊石碑等8类历史环境要素。</w:t>
      </w:r>
    </w:p>
    <w:p w14:paraId="2127B306">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（3）非遗要素</w:t>
      </w:r>
    </w:p>
    <w:p w14:paraId="5AE546F3">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保护片区3项国家级、21项省级、24项市级、97项县级非物质文化遗产；对里下河特色民俗文化、兴化特色传统技艺、兴化红色文化、兴化地名文化四个方面进行专项保护。</w:t>
      </w:r>
    </w:p>
    <w:p w14:paraId="37D24912">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6、保护名录管理</w:t>
      </w:r>
    </w:p>
    <w:p w14:paraId="0270AE10">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（1）动态管理建议</w:t>
      </w:r>
    </w:p>
    <w:p w14:paraId="469EEA8A">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建立“调查申报——评估监督——警示退出”的传统村落名录保护管理机制，实现从资源普查、申报遴选到存续监管、动态调整的系统化治理。</w:t>
      </w:r>
    </w:p>
    <w:p w14:paraId="17A84186">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（2）挖掘申报建议</w:t>
      </w:r>
    </w:p>
    <w:p w14:paraId="15A8C2AE">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全面梳理兴化全域自然村的历史文化资源，明确中国传统村落储备对象、江苏省传统村落储备对象名单。同时，以此次梳理和储备认定工作为支撑，动态优化调整镇村布局，形成“全面梳理、精准储备、动态调整”的工作闭环。</w:t>
      </w:r>
    </w:p>
    <w:p w14:paraId="4A35242A">
      <w:pPr>
        <w:pStyle w:val="11"/>
        <w:keepNext w:val="0"/>
        <w:keepLines w:val="0"/>
        <w:pageBreakBefore w:val="0"/>
        <w:widowControl w:val="0"/>
        <w:kinsoku/>
        <w:wordWrap/>
        <w:overflowPunct/>
        <w:topLinePunct w:val="0"/>
        <w:autoSpaceDE/>
        <w:autoSpaceDN/>
        <w:bidi w:val="0"/>
        <w:adjustRightInd/>
        <w:snapToGrid/>
        <w:spacing w:after="0" w:line="553" w:lineRule="exact"/>
        <w:jc w:val="left"/>
        <w:textAlignment w:val="auto"/>
        <w:outlineLvl w:val="0"/>
        <w:rPr>
          <w:rFonts w:ascii="Times New Roman" w:hAnsi="Times New Roman" w:eastAsia="方正黑体_GBK"/>
          <w:i w:val="0"/>
          <w:iCs w:val="0"/>
          <w:color w:val="000000" w:themeColor="text1"/>
          <w:sz w:val="32"/>
          <w:szCs w:val="32"/>
          <w14:textFill>
            <w14:solidFill>
              <w14:schemeClr w14:val="tx1"/>
            </w14:solidFill>
          </w14:textFill>
        </w:rPr>
      </w:pPr>
      <w:r>
        <w:rPr>
          <w:rFonts w:hint="eastAsia" w:ascii="Times New Roman" w:hAnsi="Times New Roman" w:eastAsia="方正黑体_GBK"/>
          <w:i w:val="0"/>
          <w:iCs w:val="0"/>
          <w:color w:val="000000" w:themeColor="text1"/>
          <w:sz w:val="32"/>
          <w:szCs w:val="32"/>
          <w14:textFill>
            <w14:solidFill>
              <w14:schemeClr w14:val="tx1"/>
            </w14:solidFill>
          </w14:textFill>
        </w:rPr>
        <w:t>五、特色建设指引</w:t>
      </w:r>
    </w:p>
    <w:p w14:paraId="73B94276">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1、水乡格局传承</w:t>
      </w:r>
    </w:p>
    <w:p w14:paraId="4A0202E0">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（1）湖荡岛屿型村落格局引导</w:t>
      </w:r>
    </w:p>
    <w:p w14:paraId="48A279D6">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以“显轮廓、强联系、聚中心”为核心原则，强化“水-岛-水”立体序列，引导公共功能与活动向村落内部的社区中心集聚，强化聚落的向心力与内部活力。</w:t>
      </w:r>
    </w:p>
    <w:p w14:paraId="69294C31">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（2）湖岸团块型村落格局引导</w:t>
      </w:r>
    </w:p>
    <w:p w14:paraId="3E3ABD10">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利用水系、田园进行生态化隔离，强化临湖界面塑造，强化“湖村-田”立体序列塑造，顺应从临湖界面到内部街巷间建筑密度逐步提升的梯度变化，维护村落的空间通廊。</w:t>
      </w:r>
    </w:p>
    <w:p w14:paraId="508AD074">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（3）河网均分型村落格局引导</w:t>
      </w:r>
    </w:p>
    <w:p w14:paraId="116599AF">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利用菜地绿化空间进行生态化隔离，采用带状延展布局，强化“水-路-宅-田”立体序列塑造，延续水陆并行的内部骨架和均质化、整齐排布的建筑空间布局。</w:t>
      </w:r>
    </w:p>
    <w:p w14:paraId="741D352D">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2、特色界面控制</w:t>
      </w:r>
    </w:p>
    <w:p w14:paraId="406E433B">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针对传统村落临水及主要街巷等村落重要线性要素沿线空间界面进行重点引导，塑造连续、和谐、有韵律的建筑视觉效果。</w:t>
      </w:r>
    </w:p>
    <w:p w14:paraId="1176AEC7">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3、院落形制优化</w:t>
      </w:r>
    </w:p>
    <w:p w14:paraId="7751A011">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传承兴化市2-4户传统民居联排方式，引导改造和新建建筑院落延续“一宅一院”“一宅一院一辅房”两种传统合院布局形态，同时美化院墙形式。</w:t>
      </w:r>
    </w:p>
    <w:p w14:paraId="794054D2">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4、建筑风貌彰显</w:t>
      </w:r>
    </w:p>
    <w:p w14:paraId="5CC802FD">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（1）建筑风貌要素提炼</w:t>
      </w:r>
    </w:p>
    <w:p w14:paraId="7CD80032">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提炼兴化传统村落中传统建筑的风貌特色，结合现代农房改善典型做法，针对传统村落建筑风貌更新提出要素引导。</w:t>
      </w:r>
    </w:p>
    <w:p w14:paraId="6E32D00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（2）传统建筑更新引导</w:t>
      </w:r>
    </w:p>
    <w:p w14:paraId="06700086">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在延续传统风貌的前提下，聚焦兴化市传统村落内的传统建筑进行更新提升，尤其关注结构安全、宜居性能、建设设备等方面，保障使用安全与舒适。</w:t>
      </w:r>
    </w:p>
    <w:p w14:paraId="38BC9E00">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（3）新建建筑创新传承</w:t>
      </w:r>
    </w:p>
    <w:p w14:paraId="48FB879A">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通过合理传承、创新转化传统建筑要素，对传统村落新建建筑进行建设引导，注重现代化功能布局的设置与</w:t>
      </w:r>
      <w:r>
        <w:rPr>
          <w:rFonts w:hint="eastAsia" w:ascii="宋体" w:hAnsi="宋体"/>
          <w:i w:val="0"/>
          <w:iCs w:val="0"/>
          <w:sz w:val="32"/>
          <w:szCs w:val="32"/>
          <w:lang w:eastAsia="zh-CN"/>
        </w:rPr>
        <w:t>创新型</w:t>
      </w:r>
      <w:r>
        <w:rPr>
          <w:rFonts w:hint="eastAsia" w:ascii="宋体" w:hAnsi="宋体"/>
          <w:i w:val="0"/>
          <w:iCs w:val="0"/>
          <w:sz w:val="32"/>
          <w:szCs w:val="32"/>
        </w:rPr>
        <w:t>新建材、新技术的使用，因地制宜塑造地域时代新建筑。</w:t>
      </w:r>
    </w:p>
    <w:p w14:paraId="2C8C2B70">
      <w:pPr>
        <w:pStyle w:val="11"/>
        <w:keepNext w:val="0"/>
        <w:keepLines w:val="0"/>
        <w:pageBreakBefore w:val="0"/>
        <w:widowControl w:val="0"/>
        <w:kinsoku/>
        <w:wordWrap/>
        <w:overflowPunct/>
        <w:topLinePunct w:val="0"/>
        <w:autoSpaceDE/>
        <w:autoSpaceDN/>
        <w:bidi w:val="0"/>
        <w:adjustRightInd/>
        <w:snapToGrid/>
        <w:spacing w:after="0" w:line="553" w:lineRule="exact"/>
        <w:jc w:val="left"/>
        <w:textAlignment w:val="auto"/>
        <w:outlineLvl w:val="0"/>
        <w:rPr>
          <w:rFonts w:ascii="Times New Roman" w:hAnsi="Times New Roman" w:eastAsia="方正黑体_GBK"/>
          <w:i w:val="0"/>
          <w:iCs w:val="0"/>
          <w:color w:val="000000" w:themeColor="text1"/>
          <w:sz w:val="32"/>
          <w:szCs w:val="32"/>
          <w14:textFill>
            <w14:solidFill>
              <w14:schemeClr w14:val="tx1"/>
            </w14:solidFill>
          </w14:textFill>
        </w:rPr>
      </w:pPr>
      <w:r>
        <w:rPr>
          <w:rFonts w:hint="eastAsia" w:ascii="Times New Roman" w:hAnsi="Times New Roman" w:eastAsia="方正黑体_GBK"/>
          <w:i w:val="0"/>
          <w:iCs w:val="0"/>
          <w:color w:val="000000" w:themeColor="text1"/>
          <w:sz w:val="32"/>
          <w:szCs w:val="32"/>
          <w14:textFill>
            <w14:solidFill>
              <w14:schemeClr w14:val="tx1"/>
            </w14:solidFill>
          </w14:textFill>
        </w:rPr>
        <w:t>六、联动发展策划</w:t>
      </w:r>
    </w:p>
    <w:p w14:paraId="4E02B003">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1、挖掘村落关联，推动抱团发展</w:t>
      </w:r>
    </w:p>
    <w:p w14:paraId="36FFD8DC">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立足现状传统村落文化资源与产业发展基础，构建六大发展组团，构建优势互补、错位联动的区域发展格局。</w:t>
      </w:r>
    </w:p>
    <w:p w14:paraId="3181DDF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（1）沙沟组团：以淡水鱼养殖产业与水乡文化为核心</w:t>
      </w:r>
    </w:p>
    <w:p w14:paraId="3BE322C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聚焦淡水鱼产业提质增效，完善现代渔业产业链条；活态传承水乡文化，打造沉浸式水乡生活体验地。</w:t>
      </w:r>
    </w:p>
    <w:p w14:paraId="3579A26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（2）千垛组团：以生态文旅产业与地理文化为核心</w:t>
      </w:r>
    </w:p>
    <w:p w14:paraId="0B6601CB">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发扬世界“双遗产”优势，打造垛田湿地文旅样板；挖掘垛田系统文化内涵，打造垛田文明研学基地。</w:t>
      </w:r>
    </w:p>
    <w:p w14:paraId="64B0BF0D">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（3）草荡组团：以果蔬种植产业与草荡文化为核心</w:t>
      </w:r>
    </w:p>
    <w:p w14:paraId="3D284056">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推动特色果蔬产业提升，打造都市农业体验地；活化创新草荡文化，打造水陆融合文化新体验。</w:t>
      </w:r>
    </w:p>
    <w:p w14:paraId="2BD930CE">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（4）会船组团：以民俗文化与红色文化为核心</w:t>
      </w:r>
    </w:p>
    <w:p w14:paraId="744D3B30">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守护传统会船文化，增进乡土社会认同；建立红色研学基地，弘扬爱国主义精神。</w:t>
      </w:r>
    </w:p>
    <w:p w14:paraId="4B4C12D6">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（5）丰味组团：以设施农业与近代工业文化为核心</w:t>
      </w:r>
    </w:p>
    <w:p w14:paraId="48E57B51">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推动设施农业提升，构建现代化农产品供应体系；保护活化工农记忆，增强村民归属感。</w:t>
      </w:r>
    </w:p>
    <w:p w14:paraId="729BF2D8">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（6）蟹乡组团：以河蟹养殖产业与多元文化为核心</w:t>
      </w:r>
    </w:p>
    <w:p w14:paraId="7CF1DC8B">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延伸河蟹产业链，打造全链协同的增值体系；活化多元文化资源，打造水乡研学目的地。</w:t>
      </w:r>
    </w:p>
    <w:p w14:paraId="3006B2AD">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2、完善设施配套，畅通区域联系</w:t>
      </w:r>
    </w:p>
    <w:p w14:paraId="3ACB45AF">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（1）优化区域联系通道</w:t>
      </w:r>
    </w:p>
    <w:p w14:paraId="5D202B1B">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落实片区交通专项规划，完善高速路网、国省干线和县道网络，形成便捷联通的区域联系网络。</w:t>
      </w:r>
    </w:p>
    <w:p w14:paraId="68AF6A41">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（2）补齐民生设施短板</w:t>
      </w:r>
    </w:p>
    <w:p w14:paraId="6F753979">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补足道路、雨污、公厕等基础设施配套短板，确保满足基本生活需求；完善老年活动中心、小游园、村民食堂等公共服务设施，满足现代化设施需求，筑牢现代化生活基底。</w:t>
      </w:r>
    </w:p>
    <w:p w14:paraId="27FE23A8">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（3）强化特色服务配套</w:t>
      </w:r>
    </w:p>
    <w:p w14:paraId="26232BA6">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面对发展利用，探索闲置建筑空间的活化利用，配套文化展示馆、农业服务中心、旅游服务驿站等文化服务与产业服务功能的特色化服务设施，构建区域共享的服务体系。</w:t>
      </w:r>
    </w:p>
    <w:p w14:paraId="05A7B55B">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（4）打造文化体验线路</w:t>
      </w:r>
    </w:p>
    <w:p w14:paraId="7D9F48ED">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结合各传统村落的历史文化与景观风貌特色，依托现有建设基础，打造千垛美路、历史古韵两条陆上文化体验线路，以及1号水路、会船之路两条水上文化体验线路。</w:t>
      </w:r>
    </w:p>
    <w:p w14:paraId="4C78490C">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3、强化场景设计，提升空间体验</w:t>
      </w:r>
    </w:p>
    <w:p w14:paraId="30755B6D">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（1）交通界面设计</w:t>
      </w:r>
    </w:p>
    <w:p w14:paraId="14C0243E">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结合全域道路交通等级和与传统村落的布局关系，分级分段设置快速型与慢速型交通线路，进行分类道路界面引导。</w:t>
      </w:r>
    </w:p>
    <w:p w14:paraId="3A264E12">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（2）标识系统设计</w:t>
      </w:r>
    </w:p>
    <w:p w14:paraId="0B0964C8">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结合村落位置与交通线路布局，构建传统村落门户标识、交通标识、身份标识、导览标识四级标识系统。</w:t>
      </w:r>
    </w:p>
    <w:p w14:paraId="7F213B65">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（3）文化体验线路设计</w:t>
      </w:r>
    </w:p>
    <w:p w14:paraId="5726BB1E">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针对两条陆上文化体验线路进行分类引导，塑造串联村落与村落间、田园与村落间的线性文化景观线路。针对两条水上文化体验线路进行分类引导，贯通从驳岸绿化到码头、广场的立体线性景观序列，演绎水乡文化的独特魅力。</w:t>
      </w:r>
    </w:p>
    <w:p w14:paraId="07117D10">
      <w:pPr>
        <w:pStyle w:val="11"/>
        <w:keepNext w:val="0"/>
        <w:keepLines w:val="0"/>
        <w:pageBreakBefore w:val="0"/>
        <w:widowControl w:val="0"/>
        <w:kinsoku/>
        <w:wordWrap/>
        <w:overflowPunct/>
        <w:topLinePunct w:val="0"/>
        <w:autoSpaceDE/>
        <w:autoSpaceDN/>
        <w:bidi w:val="0"/>
        <w:adjustRightInd/>
        <w:snapToGrid/>
        <w:spacing w:after="0" w:line="553" w:lineRule="exact"/>
        <w:jc w:val="left"/>
        <w:textAlignment w:val="auto"/>
        <w:outlineLvl w:val="0"/>
        <w:rPr>
          <w:rFonts w:ascii="Times New Roman" w:hAnsi="Times New Roman" w:eastAsia="方正黑体_GBK"/>
          <w:i w:val="0"/>
          <w:iCs w:val="0"/>
          <w:color w:val="000000" w:themeColor="text1"/>
          <w:sz w:val="32"/>
          <w:szCs w:val="32"/>
          <w14:textFill>
            <w14:solidFill>
              <w14:schemeClr w14:val="tx1"/>
            </w14:solidFill>
          </w14:textFill>
        </w:rPr>
      </w:pPr>
      <w:r>
        <w:rPr>
          <w:rFonts w:hint="eastAsia" w:ascii="Times New Roman" w:hAnsi="Times New Roman" w:eastAsia="方正黑体_GBK"/>
          <w:i w:val="0"/>
          <w:iCs w:val="0"/>
          <w:color w:val="000000" w:themeColor="text1"/>
          <w:sz w:val="32"/>
          <w:szCs w:val="32"/>
          <w14:textFill>
            <w14:solidFill>
              <w14:schemeClr w14:val="tx1"/>
            </w14:solidFill>
          </w14:textFill>
        </w:rPr>
        <w:t>七、长效机制设计</w:t>
      </w:r>
    </w:p>
    <w:p w14:paraId="1C7167B6">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1、深化联建共治的现代治理格局</w:t>
      </w:r>
    </w:p>
    <w:p w14:paraId="67A48A3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（1）融入市级重大事项平台</w:t>
      </w:r>
    </w:p>
    <w:p w14:paraId="06846B41">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借力现有的“五好两宜”工作专班机制，组建“兴化市和美乡村/传统村落建设领导小组”，整合多个政府职能部门，并联动市场力量，形成跨部门、多主体的协同工作机制。</w:t>
      </w:r>
    </w:p>
    <w:p w14:paraId="3410E442">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（2）搭建两级村民议事机制</w:t>
      </w:r>
    </w:p>
    <w:p w14:paraId="05B513BA">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着力构建“村-片”两级村民议事机制，充分依托“亲娘舅”工作室、村民议事堂等现有经验，创新乡村治理模式。</w:t>
      </w:r>
    </w:p>
    <w:p w14:paraId="5077C77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（3）构建多场景村落共建共享模式</w:t>
      </w:r>
    </w:p>
    <w:p w14:paraId="56056C01">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面向保护修缮场景、村落运营场景、设施提升场景等传统村落保护利用的多元化场景，构建差异化的共建共享方式。</w:t>
      </w:r>
    </w:p>
    <w:p w14:paraId="0353777A">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2、构建多元协同的技术支撑体系</w:t>
      </w:r>
    </w:p>
    <w:p w14:paraId="4C188396">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w:t>
      </w:r>
      <w:r>
        <w:rPr>
          <w:rFonts w:ascii="宋体" w:hAnsi="宋体"/>
          <w:i w:val="0"/>
          <w:iCs w:val="0"/>
          <w:sz w:val="32"/>
          <w:szCs w:val="32"/>
        </w:rPr>
        <w:t>夯实政府引领、社会力量支持、传统工匠铸基的主导性技术支撑</w:t>
      </w:r>
    </w:p>
    <w:p w14:paraId="5873EA5F">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构建“标准指引、人才培育、平台交流”构成的支撑体系，整合政府、社会专业力量与本地工匠等多方资源，形成从规范建立到人才赋能、再到协同创新的完整闭环。</w:t>
      </w:r>
    </w:p>
    <w:p w14:paraId="7BE1518E">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（2）接入数字化管理的辅助性技术支撑</w:t>
      </w:r>
    </w:p>
    <w:p w14:paraId="5154DF1B">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将传统村落集中连片保护利用与数字化技术相结合，在五好两宜片区“数字乡村一张图”的基础上拓充扩展，构建“一库、一馆、一图、一平台”的数字化体系。</w:t>
      </w:r>
    </w:p>
    <w:p w14:paraId="7E2597FB">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3、探索精准投放的要素保障机制</w:t>
      </w:r>
    </w:p>
    <w:p w14:paraId="7C1C46A6">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（1）创新精准化土地保障</w:t>
      </w:r>
    </w:p>
    <w:p w14:paraId="2EE67AB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制定精准用地保障方案，采取“农村产业用地”专项指标与土地整合供应双轨并行、协同推进的系统架构，实现村落发展用地的精准规划与供应。</w:t>
      </w:r>
    </w:p>
    <w:p w14:paraId="0BB29173">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（2）拓展多元化资金保障</w:t>
      </w:r>
    </w:p>
    <w:p w14:paraId="228248DF">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通过政府引导、市场参与、金融创新三管齐下，构建多元化的资金保障体系，形成可持续的资金循环。</w:t>
      </w:r>
    </w:p>
    <w:p w14:paraId="53D80ECC">
      <w:pPr>
        <w:pStyle w:val="11"/>
        <w:keepNext w:val="0"/>
        <w:keepLines w:val="0"/>
        <w:pageBreakBefore w:val="0"/>
        <w:widowControl w:val="0"/>
        <w:kinsoku/>
        <w:wordWrap/>
        <w:overflowPunct/>
        <w:topLinePunct w:val="0"/>
        <w:autoSpaceDE/>
        <w:autoSpaceDN/>
        <w:bidi w:val="0"/>
        <w:adjustRightInd/>
        <w:snapToGrid/>
        <w:spacing w:after="0" w:line="553" w:lineRule="exact"/>
        <w:ind w:firstLine="643" w:firstLineChars="200"/>
        <w:textAlignment w:val="auto"/>
        <w:rPr>
          <w:rFonts w:hint="eastAsia" w:ascii="宋体" w:hAnsi="宋体"/>
          <w:i w:val="0"/>
          <w:iCs w:val="0"/>
          <w:sz w:val="32"/>
          <w:szCs w:val="32"/>
        </w:rPr>
      </w:pPr>
      <w:r>
        <w:rPr>
          <w:rFonts w:hint="eastAsia" w:ascii="宋体" w:hAnsi="宋体"/>
          <w:b/>
          <w:bCs/>
          <w:i w:val="0"/>
          <w:iCs w:val="0"/>
          <w:sz w:val="32"/>
          <w:szCs w:val="32"/>
        </w:rPr>
        <w:t>4、强化创新形式的社会宣传引导</w:t>
      </w:r>
    </w:p>
    <w:p w14:paraId="3395E72D">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（1）加强“兴化故事”记录传播</w:t>
      </w:r>
    </w:p>
    <w:p w14:paraId="467EB4F6">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通过村史村志的编撰深度挖掘乡土记忆，以多样化的宣传途径扩大兴化市传统村落的知名度和影响力。</w:t>
      </w:r>
    </w:p>
    <w:p w14:paraId="566EC7BE">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（2）升级“四季文旅”品牌矩阵</w:t>
      </w:r>
    </w:p>
    <w:p w14:paraId="59B0B8D2">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在现有四季文旅品牌的视觉观光1.0基础上，进一步整合资源特色，策划四季主题文化IP，推动品牌向“文化沉浸2.0”升级。突破行政边界，联合里下河地区乃至苏中、苏北相关资源，构建“区域文旅共同体”，提升吸引力与影响力。</w:t>
      </w:r>
    </w:p>
    <w:p w14:paraId="044CBC37">
      <w:pPr>
        <w:pStyle w:val="11"/>
        <w:keepNext w:val="0"/>
        <w:keepLines w:val="0"/>
        <w:pageBreakBefore w:val="0"/>
        <w:widowControl w:val="0"/>
        <w:kinsoku/>
        <w:wordWrap/>
        <w:overflowPunct/>
        <w:topLinePunct w:val="0"/>
        <w:autoSpaceDE/>
        <w:autoSpaceDN/>
        <w:bidi w:val="0"/>
        <w:adjustRightInd/>
        <w:snapToGrid/>
        <w:spacing w:after="0" w:line="553" w:lineRule="exact"/>
        <w:jc w:val="left"/>
        <w:textAlignment w:val="auto"/>
        <w:outlineLvl w:val="0"/>
        <w:rPr>
          <w:rFonts w:ascii="Times New Roman" w:hAnsi="Times New Roman" w:eastAsia="方正黑体_GBK"/>
          <w:i w:val="0"/>
          <w:iCs w:val="0"/>
          <w:color w:val="000000" w:themeColor="text1"/>
          <w:sz w:val="32"/>
          <w:szCs w:val="32"/>
          <w14:textFill>
            <w14:solidFill>
              <w14:schemeClr w14:val="tx1"/>
            </w14:solidFill>
          </w14:textFill>
        </w:rPr>
      </w:pPr>
      <w:r>
        <w:rPr>
          <w:rFonts w:hint="eastAsia" w:ascii="Times New Roman" w:hAnsi="Times New Roman" w:eastAsia="方正黑体_GBK"/>
          <w:i w:val="0"/>
          <w:iCs w:val="0"/>
          <w:color w:val="000000" w:themeColor="text1"/>
          <w:sz w:val="32"/>
          <w:szCs w:val="32"/>
          <w14:textFill>
            <w14:solidFill>
              <w14:schemeClr w14:val="tx1"/>
            </w14:solidFill>
          </w14:textFill>
        </w:rPr>
        <w:t>八、近期行动方案</w:t>
      </w:r>
    </w:p>
    <w:p w14:paraId="0EDD3152">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1、制定时间表</w:t>
      </w:r>
    </w:p>
    <w:p w14:paraId="427C1CF6">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规划制定文化根脉守护行动、发展组团活化行动、宜居聚落焕新行动与体制机制创新行动四大行动方向，确定近远期实施重点：至2026年底，聚焦夯实基础与先导引领，实施一批紧迫性强、见效快的标杆项目；至2035年，</w:t>
      </w:r>
      <w:r>
        <w:rPr>
          <w:rFonts w:hint="eastAsia" w:ascii="宋体" w:hAnsi="宋体"/>
          <w:i w:val="0"/>
          <w:iCs w:val="0"/>
          <w:sz w:val="32"/>
          <w:szCs w:val="32"/>
          <w:lang w:eastAsia="zh-CN"/>
        </w:rPr>
        <w:t>强化系统集成</w:t>
      </w:r>
      <w:r>
        <w:rPr>
          <w:rFonts w:hint="eastAsia" w:ascii="宋体" w:hAnsi="宋体"/>
          <w:i w:val="0"/>
          <w:iCs w:val="0"/>
          <w:sz w:val="32"/>
          <w:szCs w:val="32"/>
        </w:rPr>
        <w:t>与全域提升，将成功模式推广至所有传统村落和潜力村落。</w:t>
      </w:r>
    </w:p>
    <w:p w14:paraId="4EBD473A">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2、划定先导区</w:t>
      </w:r>
    </w:p>
    <w:p w14:paraId="6A7D3FEF">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建立兴化传统村落分级建设体系，其中一级村落（优先保障村）与二级村落（近期培育村）为先导区村落，三级村落为远期培育村。近期重点打造3个传统村落发展组团、提升2条水陆文化体验线路、编制1批传统村落保护利用规划。</w:t>
      </w:r>
    </w:p>
    <w:p w14:paraId="5BC7FE56">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hint="eastAsia" w:ascii="宋体" w:hAnsi="宋体"/>
          <w:b/>
          <w:bCs/>
          <w:i w:val="0"/>
          <w:iCs w:val="0"/>
          <w:sz w:val="32"/>
          <w:szCs w:val="32"/>
        </w:rPr>
      </w:pPr>
      <w:r>
        <w:rPr>
          <w:rFonts w:hint="eastAsia" w:ascii="宋体" w:hAnsi="宋体"/>
          <w:b/>
          <w:bCs/>
          <w:i w:val="0"/>
          <w:iCs w:val="0"/>
          <w:sz w:val="32"/>
          <w:szCs w:val="32"/>
        </w:rPr>
        <w:t>3、确定项目库</w:t>
      </w:r>
    </w:p>
    <w:p w14:paraId="34E2192D">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近期实施4项行动，共计12类18个项目，预计总投资约3646万元，其中传统村落集中连片保护利用示范补助资金1950万元。</w:t>
      </w:r>
    </w:p>
    <w:p w14:paraId="027861BC">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p>
    <w:p w14:paraId="0677B6B4">
      <w:pPr>
        <w:pStyle w:val="11"/>
        <w:keepNext w:val="0"/>
        <w:keepLines w:val="0"/>
        <w:pageBreakBefore w:val="0"/>
        <w:widowControl w:val="0"/>
        <w:kinsoku/>
        <w:wordWrap/>
        <w:overflowPunct/>
        <w:topLinePunct w:val="0"/>
        <w:autoSpaceDE/>
        <w:autoSpaceDN/>
        <w:bidi w:val="0"/>
        <w:adjustRightInd/>
        <w:snapToGrid/>
        <w:spacing w:after="0" w:line="553" w:lineRule="exact"/>
        <w:textAlignment w:val="auto"/>
        <w:rPr>
          <w:rFonts w:ascii="Times New Roman" w:hAnsi="Times New Roman" w:eastAsia="方正黑体_GBK"/>
          <w:i w:val="0"/>
          <w:iCs w:val="0"/>
          <w:color w:val="000000" w:themeColor="text1"/>
          <w:sz w:val="32"/>
          <w:szCs w:val="32"/>
          <w14:textFill>
            <w14:solidFill>
              <w14:schemeClr w14:val="tx1"/>
            </w14:solidFill>
          </w14:textFill>
        </w:rPr>
      </w:pPr>
      <w:bookmarkStart w:id="0" w:name="_GoBack"/>
      <w:bookmarkEnd w:id="0"/>
      <w:r>
        <w:rPr>
          <w:rFonts w:hint="eastAsia" w:ascii="Times New Roman" w:hAnsi="Times New Roman" w:eastAsia="方正黑体_GBK"/>
          <w:i w:val="0"/>
          <w:iCs w:val="0"/>
          <w:color w:val="000000" w:themeColor="text1"/>
          <w:sz w:val="32"/>
          <w:szCs w:val="32"/>
          <w14:textFill>
            <w14:solidFill>
              <w14:schemeClr w14:val="tx1"/>
            </w14:solidFill>
          </w14:textFill>
        </w:rPr>
        <w:t>附件：图集</w:t>
      </w:r>
    </w:p>
    <w:p w14:paraId="5DE0270A">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01 区位图</w:t>
      </w:r>
    </w:p>
    <w:p w14:paraId="4595445F">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02 传统村落分布图</w:t>
      </w:r>
    </w:p>
    <w:p w14:paraId="04F3BFCF">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03 乡村地区历史文化资源分布图</w:t>
      </w:r>
    </w:p>
    <w:p w14:paraId="16122857">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04 保护格局规划图</w:t>
      </w:r>
    </w:p>
    <w:p w14:paraId="1F80B95F">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05 发展组团布局规划图</w:t>
      </w:r>
    </w:p>
    <w:p w14:paraId="68E44D3B">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06 文化体验线路规划图</w:t>
      </w:r>
    </w:p>
    <w:p w14:paraId="031EE040">
      <w:pPr>
        <w:pStyle w:val="11"/>
        <w:keepNext w:val="0"/>
        <w:keepLines w:val="0"/>
        <w:pageBreakBefore w:val="0"/>
        <w:widowControl w:val="0"/>
        <w:kinsoku/>
        <w:wordWrap/>
        <w:overflowPunct/>
        <w:topLinePunct w:val="0"/>
        <w:autoSpaceDE/>
        <w:autoSpaceDN/>
        <w:bidi w:val="0"/>
        <w:adjustRightInd/>
        <w:snapToGrid/>
        <w:spacing w:after="0" w:line="553" w:lineRule="exact"/>
        <w:ind w:firstLine="640" w:firstLineChars="200"/>
        <w:textAlignment w:val="auto"/>
        <w:rPr>
          <w:rFonts w:hint="eastAsia" w:ascii="宋体" w:hAnsi="宋体"/>
          <w:i w:val="0"/>
          <w:iCs w:val="0"/>
          <w:sz w:val="32"/>
          <w:szCs w:val="32"/>
        </w:rPr>
      </w:pPr>
      <w:r>
        <w:rPr>
          <w:rFonts w:hint="eastAsia" w:ascii="宋体" w:hAnsi="宋体"/>
          <w:i w:val="0"/>
          <w:iCs w:val="0"/>
          <w:sz w:val="32"/>
          <w:szCs w:val="32"/>
        </w:rPr>
        <w:t>07 近期建设规划图</w:t>
      </w:r>
    </w:p>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846D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12F70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D12F70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03234">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95"/>
    <w:rsid w:val="000E459B"/>
    <w:rsid w:val="000F5593"/>
    <w:rsid w:val="00112140"/>
    <w:rsid w:val="00117225"/>
    <w:rsid w:val="001222FE"/>
    <w:rsid w:val="001949C2"/>
    <w:rsid w:val="001F1FCA"/>
    <w:rsid w:val="00304318"/>
    <w:rsid w:val="00324451"/>
    <w:rsid w:val="003545C1"/>
    <w:rsid w:val="00382E24"/>
    <w:rsid w:val="003852B4"/>
    <w:rsid w:val="003937E3"/>
    <w:rsid w:val="003D3BEA"/>
    <w:rsid w:val="00426EA2"/>
    <w:rsid w:val="004D1FC2"/>
    <w:rsid w:val="004F714F"/>
    <w:rsid w:val="0057539C"/>
    <w:rsid w:val="005A2EDE"/>
    <w:rsid w:val="005E0E71"/>
    <w:rsid w:val="006427B0"/>
    <w:rsid w:val="00643C32"/>
    <w:rsid w:val="0066226A"/>
    <w:rsid w:val="0067396F"/>
    <w:rsid w:val="006752DA"/>
    <w:rsid w:val="00686797"/>
    <w:rsid w:val="006A7999"/>
    <w:rsid w:val="006B497D"/>
    <w:rsid w:val="006B5312"/>
    <w:rsid w:val="007614AD"/>
    <w:rsid w:val="007670FE"/>
    <w:rsid w:val="007A231A"/>
    <w:rsid w:val="007B122E"/>
    <w:rsid w:val="007E0245"/>
    <w:rsid w:val="007E2755"/>
    <w:rsid w:val="00817679"/>
    <w:rsid w:val="00830249"/>
    <w:rsid w:val="00867F01"/>
    <w:rsid w:val="0087018D"/>
    <w:rsid w:val="008C353E"/>
    <w:rsid w:val="00952CBD"/>
    <w:rsid w:val="00954CDA"/>
    <w:rsid w:val="00955EE8"/>
    <w:rsid w:val="009B5990"/>
    <w:rsid w:val="009D3953"/>
    <w:rsid w:val="00A01EF1"/>
    <w:rsid w:val="00A42DCF"/>
    <w:rsid w:val="00A67B5D"/>
    <w:rsid w:val="00AB61BC"/>
    <w:rsid w:val="00AB66A5"/>
    <w:rsid w:val="00AE2455"/>
    <w:rsid w:val="00B00C4C"/>
    <w:rsid w:val="00B271DA"/>
    <w:rsid w:val="00B34F01"/>
    <w:rsid w:val="00B733A1"/>
    <w:rsid w:val="00B94E75"/>
    <w:rsid w:val="00C07695"/>
    <w:rsid w:val="00C11EF8"/>
    <w:rsid w:val="00C705EE"/>
    <w:rsid w:val="00C80645"/>
    <w:rsid w:val="00C86086"/>
    <w:rsid w:val="00C931F6"/>
    <w:rsid w:val="00CA3344"/>
    <w:rsid w:val="00CD581E"/>
    <w:rsid w:val="00CF78BA"/>
    <w:rsid w:val="00DB6E64"/>
    <w:rsid w:val="00E807C5"/>
    <w:rsid w:val="00F359B0"/>
    <w:rsid w:val="00F40213"/>
    <w:rsid w:val="00F775CB"/>
    <w:rsid w:val="00F917B2"/>
    <w:rsid w:val="00FA4EE9"/>
    <w:rsid w:val="00FB7406"/>
    <w:rsid w:val="00FC1A91"/>
    <w:rsid w:val="00FD3B05"/>
    <w:rsid w:val="060E1B99"/>
    <w:rsid w:val="4A724D21"/>
    <w:rsid w:val="4A916067"/>
    <w:rsid w:val="56F549ED"/>
    <w:rsid w:val="7CE83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qFormat="1" w:uiPriority="99"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HTML Address"/>
    <w:basedOn w:val="1"/>
    <w:link w:val="36"/>
    <w:unhideWhenUsed/>
    <w:qFormat/>
    <w:uiPriority w:val="99"/>
    <w:pPr>
      <w:spacing w:after="0" w:line="240" w:lineRule="auto"/>
      <w:jc w:val="both"/>
    </w:pPr>
    <w:rPr>
      <w:rFonts w:ascii="Calibri" w:hAnsi="Calibri" w:eastAsia="宋体" w:cs="Times New Roman"/>
      <w:i/>
      <w:iCs/>
      <w:sz w:val="21"/>
      <w14:ligatures w14:val="none"/>
    </w:rPr>
  </w:style>
  <w:style w:type="paragraph" w:styleId="12">
    <w:name w:val="footer"/>
    <w:basedOn w:val="1"/>
    <w:semiHidden/>
    <w:unhideWhenUsed/>
    <w:uiPriority w:val="99"/>
    <w:pPr>
      <w:tabs>
        <w:tab w:val="center" w:pos="4153"/>
        <w:tab w:val="right" w:pos="8306"/>
      </w:tabs>
      <w:snapToGrid w:val="0"/>
      <w:jc w:val="left"/>
    </w:pPr>
    <w:rPr>
      <w:sz w:val="18"/>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HTML 地址 字符"/>
    <w:basedOn w:val="17"/>
    <w:link w:val="11"/>
    <w:qFormat/>
    <w:uiPriority w:val="99"/>
    <w:rPr>
      <w:rFonts w:ascii="Calibri" w:hAnsi="Calibri" w:eastAsia="宋体" w:cs="Times New Roman"/>
      <w:i/>
      <w:iCs/>
      <w:sz w:val="21"/>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4aed6a3d-58e6-4d14-b143-25029a148d46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49944520</paraID>
      <start>0</start>
      <end>2</end>
      <status>ignored</status>
      <modifiedWord/>
      <trackRevisions>false</trackRevisions>
    </reviewItem>
    <reviewItem>
      <errorID>53082a37-9df1-4eb4-9b60-17b5742dfb2a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2FF10FD8</paraID>
      <start>0</start>
      <end>2</end>
      <status>ignored</status>
      <modifiedWord/>
      <trackRevisions>false</trackRevisions>
    </reviewItem>
    <reviewItem>
      <errorID>7c470509-2e33-4cf2-b00e-ccb028d52a52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1CAB009B</paraID>
      <start>0</start>
      <end>2</end>
      <status>ignored</status>
      <modifiedWord/>
      <trackRevisions>false</trackRevisions>
    </reviewItem>
    <reviewItem>
      <errorID>51dcc024-a276-4425-af21-34d8869e7b30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117853C8</paraID>
      <start>0</start>
      <end>2</end>
      <status>ignored</status>
      <modifiedWord/>
      <trackRevisions>false</trackRevisions>
    </reviewItem>
    <reviewItem>
      <errorID>e49bc579-0776-4afa-a93a-af7a726bfa81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7F05A54C</paraID>
      <start>0</start>
      <end>2</end>
      <status>ignored</status>
      <modifiedWord/>
      <trackRevisions>false</trackRevisions>
    </reviewItem>
    <reviewItem>
      <errorID>7030ffed-adfe-4f14-ae9d-3aeabe0909ce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3CAFD078</paraID>
      <start>0</start>
      <end>2</end>
      <status>unmodified</status>
      <modifiedWord/>
      <trackRevisions>false</trackRevisions>
    </reviewItem>
    <reviewItem>
      <errorID>20955a48-95ca-4e83-89c4-ba2efef7168f</errorID>
      <errorWord>-</errorWord>
      <group>L1_Format</group>
      <groupName>格式问题</groupName>
      <ability>L2_HalfPunc</ability>
      <abilityName>全半角检查</abilityName>
      <candidateList>
        <item>－</item>
      </candidateList>
      <explain>文本全半角错误。</explain>
      <paraID>4E02440F</paraID>
      <start>48</start>
      <end>49</end>
      <status>unmodified</status>
      <modifiedWord/>
      <trackRevisions>false</trackRevisions>
    </reviewItem>
    <reviewItem>
      <errorID>1dfe9aa0-aba6-4359-8ca2-d5da28189662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59F82E13</paraID>
      <start>0</start>
      <end>2</end>
      <status>unmodified</status>
      <modifiedWord/>
      <trackRevisions>false</trackRevisions>
    </reviewItem>
    <reviewItem>
      <errorID>ce9f658f-78e6-4235-93cf-4b21db8d2c92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460494E6</paraID>
      <start>0</start>
      <end>2</end>
      <status>unmodified</status>
      <modifiedWord/>
      <trackRevisions>false</trackRevisions>
    </reviewItem>
    <reviewItem>
      <errorID>3344ff7a-2c0e-4363-81dd-606ab846ca74</errorID>
      <errorWord>-</errorWord>
      <group>L1_Format</group>
      <groupName>格式问题</groupName>
      <ability>L2_HalfPunc</ability>
      <abilityName>全半角检查</abilityName>
      <candidateList>
        <item>－</item>
      </candidateList>
      <explain>文本全半角错误。</explain>
      <paraID>2334552C</paraID>
      <start>21</start>
      <end>22</end>
      <status>unmodified</status>
      <modifiedWord/>
      <trackRevisions>false</trackRevisions>
    </reviewItem>
    <reviewItem>
      <errorID>e8ec52ea-3661-4c4b-94ff-7d9ee9e59677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333F3156</paraID>
      <start>0</start>
      <end>2</end>
      <status>unmodified</status>
      <modifiedWord/>
      <trackRevisions>false</trackRevisions>
    </reviewItem>
    <reviewItem>
      <errorID>547e76e1-41e9-4f2d-8907-adf9e94a641c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5196EF12</paraID>
      <start>0</start>
      <end>2</end>
      <status>unmodified</status>
      <modifiedWord/>
      <trackRevisions>false</trackRevisions>
    </reviewItem>
    <reviewItem>
      <errorID>dd5f6421-a503-4c17-96eb-0d33e75447a8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37D24912</paraID>
      <start>0</start>
      <end>2</end>
      <status>unmodified</status>
      <modifiedWord/>
      <trackRevisions>false</trackRevisions>
    </reviewItem>
    <reviewItem>
      <errorID>2091e872-7c0c-4dc3-af7c-65cacda778b3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73B94276</paraID>
      <start>0</start>
      <end>2</end>
      <status>unmodified</status>
      <modifiedWord/>
      <trackRevisions>false</trackRevisions>
    </reviewItem>
    <reviewItem>
      <errorID>7db04a76-a119-4f8d-84ad-f8904eadf55a</errorID>
      <errorWord>-</errorWord>
      <group>L1_Format</group>
      <groupName>格式问题</groupName>
      <ability>L2_HalfPunc</ability>
      <abilityName>全半角检查</abilityName>
      <candidateList>
        <item>－</item>
      </candidateList>
      <explain>文本全半角错误。</explain>
      <paraID>48A279D6</paraID>
      <start>24</start>
      <end>25</end>
      <status>unmodified</status>
      <modifiedWord/>
      <trackRevisions>false</trackRevisions>
    </reviewItem>
    <reviewItem>
      <errorID>cf8a4aaf-a9d0-4429-97ad-933760df9a7f</errorID>
      <errorWord>-</errorWord>
      <group>L1_Format</group>
      <groupName>格式问题</groupName>
      <ability>L2_HalfPunc</ability>
      <abilityName>全半角检查</abilityName>
      <candidateList>
        <item>－</item>
      </candidateList>
      <explain>文本全半角错误。</explain>
      <paraID>48A279D6</paraID>
      <start>26</start>
      <end>27</end>
      <status>unmodified</status>
      <modifiedWord/>
      <trackRevisions>false</trackRevisions>
    </reviewItem>
    <reviewItem>
      <errorID>ab48b42f-e120-4339-b49b-93af57584ee6</errorID>
      <errorWord>-</errorWord>
      <group>L1_Format</group>
      <groupName>格式问题</groupName>
      <ability>L2_HalfPunc</ability>
      <abilityName>全半角检查</abilityName>
      <candidateList>
        <item>－</item>
      </candidateList>
      <explain>文本全半角错误。</explain>
      <paraID>3E3ABD10</paraID>
      <start>29</start>
      <end>30</end>
      <status>unmodified</status>
      <modifiedWord/>
      <trackRevisions>false</trackRevisions>
    </reviewItem>
    <reviewItem>
      <errorID>5ad52483-912f-463e-9a90-21dcf39b4b10</errorID>
      <errorWord>-</errorWord>
      <group>L1_Format</group>
      <groupName>格式问题</groupName>
      <ability>L2_HalfPunc</ability>
      <abilityName>全半角检查</abilityName>
      <candidateList>
        <item>－</item>
      </candidateList>
      <explain>文本全半角错误。</explain>
      <paraID>116599AF</paraID>
      <start>29</start>
      <end>30</end>
      <status>unmodified</status>
      <modifiedWord/>
      <trackRevisions>false</trackRevisions>
    </reviewItem>
    <reviewItem>
      <errorID>0dc96f88-307b-434e-b058-88c044f338a1</errorID>
      <errorWord>-</errorWord>
      <group>L1_Format</group>
      <groupName>格式问题</groupName>
      <ability>L2_HalfPunc</ability>
      <abilityName>全半角检查</abilityName>
      <candidateList>
        <item>－</item>
      </candidateList>
      <explain>文本全半角错误。</explain>
      <paraID>116599AF</paraID>
      <start>31</start>
      <end>32</end>
      <status>unmodified</status>
      <modifiedWord/>
      <trackRevisions>false</trackRevisions>
    </reviewItem>
    <reviewItem>
      <errorID>33d200d5-27bd-4be6-8599-23dd602fc054</errorID>
      <errorWord>-</errorWord>
      <group>L1_Format</group>
      <groupName>格式问题</groupName>
      <ability>L2_HalfPunc</ability>
      <abilityName>全半角检查</abilityName>
      <candidateList>
        <item>－</item>
      </candidateList>
      <explain>文本全半角错误。</explain>
      <paraID>116599AF</paraID>
      <start>33</start>
      <end>34</end>
      <status>unmodified</status>
      <modifiedWord/>
      <trackRevisions>false</trackRevisions>
    </reviewItem>
    <reviewItem>
      <errorID>c0f52a8f-1b95-4cc8-b510-30e2a67474aa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741D352D</paraID>
      <start>0</start>
      <end>2</end>
      <status>unmodified</status>
      <modifiedWord/>
      <trackRevisions>false</trackRevisions>
    </reviewItem>
    <reviewItem>
      <errorID>786f9dcc-2690-4ea7-9237-4a5dfc27ea27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1176AEC7</paraID>
      <start>0</start>
      <end>2</end>
      <status>unmodified</status>
      <modifiedWord/>
      <trackRevisions>false</trackRevisions>
    </reviewItem>
    <reviewItem>
      <errorID>4a4d6d43-6a24-4d9c-8175-79db37709500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794054D2</paraID>
      <start>0</start>
      <end>2</end>
      <status>unmodified</status>
      <modifiedWord/>
      <trackRevisions>false</trackRevisions>
    </reviewItem>
    <reviewItem>
      <errorID>c9bccd02-8c5b-4f85-ab46-a250422bddc3</errorID>
      <errorWord>创新性</errorWord>
      <group>L1_Word</group>
      <groupName>字词问题</groupName>
      <ability>L2_Typo</ability>
      <abilityName>字词错误</abilityName>
      <candidateList>
        <item>创新型</item>
      </candidateList>
      <explain/>
      <paraID>48FB879A</paraID>
      <start>47</start>
      <end>50</end>
      <status>modified</status>
      <modifiedWord>创新型</modifiedWord>
      <trackRevisions>false</trackRevisions>
    </reviewItem>
    <reviewItem>
      <errorID>4d93e0a3-8122-4168-bbfd-766710cd791a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4E02B003</paraID>
      <start>0</start>
      <end>2</end>
      <status>ignored</status>
      <modifiedWord/>
      <trackRevisions>false</trackRevisions>
    </reviewItem>
    <reviewItem>
      <errorID>027028b8-59a3-46e5-9e95-3beee76cbdac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3006B2AD</paraID>
      <start>0</start>
      <end>2</end>
      <status>ignored</status>
      <modifiedWord/>
      <trackRevisions>false</trackRevisions>
    </reviewItem>
    <reviewItem>
      <errorID>c2344ade-55d1-45ec-af4f-1255dcfd8296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4C78490C</paraID>
      <start>0</start>
      <end>2</end>
      <status>ignored</status>
      <modifiedWord/>
      <trackRevisions>false</trackRevisions>
    </reviewItem>
    <reviewItem>
      <errorID>71f1d37b-cf50-4d51-89f9-3508c25b8637</errorID>
      <errorWord>和与</errorWord>
      <group>L1_Word</group>
      <groupName>字词问题</groupName>
      <ability>L2_Typo</ability>
      <abilityName>字词错误</abilityName>
      <candidateList>
        <item>和</item>
      </candidateList>
      <explain>〈量〉用于洗东西换水的次数或一剂药煎的次数：衣裳已经洗了三～｜二～药。</explain>
      <paraID>14C0243E</paraID>
      <start>10</start>
      <end>12</end>
      <status>ignored</status>
      <modifiedWord/>
      <trackRevisions>false</trackRevisions>
    </reviewItem>
    <reviewItem>
      <errorID>1a935c98-51c8-4635-984d-83beccd39c87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1C7167B6</paraID>
      <start>0</start>
      <end>2</end>
      <status>ignored</status>
      <modifiedWord/>
      <trackRevisions>false</trackRevisions>
    </reviewItem>
    <reviewItem>
      <errorID>9bde6eb7-4ef8-4ae7-8346-82e9083aaead</errorID>
      <errorWord>-</errorWord>
      <group>L1_Format</group>
      <groupName>格式问题</groupName>
      <ability>L2_HalfPunc</ability>
      <abilityName>全半角检查</abilityName>
      <candidateList>
        <item>－</item>
      </candidateList>
      <explain>文本全半角错误。</explain>
      <paraID> 5B513BA</paraID>
      <start>6</start>
      <end>7</end>
      <status>ignored</status>
      <modifiedWord/>
      <trackRevisions>false</trackRevisions>
    </reviewItem>
    <reviewItem>
      <errorID>19e9eb87-6b4c-41da-8f27-409436a00488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353777A</paraID>
      <start>0</start>
      <end>2</end>
      <status>ignored</status>
      <modifiedWord/>
      <trackRevisions>false</trackRevisions>
    </reviewItem>
    <reviewItem>
      <errorID>cb38128e-c06b-4cda-82cc-5b442795994c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7E2597FB</paraID>
      <start>0</start>
      <end>2</end>
      <status>ignored</status>
      <modifiedWord/>
      <trackRevisions>false</trackRevisions>
    </reviewItem>
    <reviewItem>
      <errorID>a89538b7-4cb7-4723-8777-e3f93b418556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53D80ECC</paraID>
      <start>0</start>
      <end>2</end>
      <status>ignored</status>
      <modifiedWord/>
      <trackRevisions>false</trackRevisions>
    </reviewItem>
    <reviewItem>
      <errorID>c50ea195-e953-4c36-b957-70e08f49af7d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EDD3152</paraID>
      <start>0</start>
      <end>2</end>
      <status>ignored</status>
      <modifiedWord/>
      <trackRevisions>false</trackRevisions>
    </reviewItem>
    <reviewItem>
      <errorID>93cb7ae3-8e13-4ad4-ae60-fcaa6e64fc19</errorID>
      <errorWord>强调系统集成</errorWord>
      <group>L1_Political</group>
      <groupName>政治性问题</groupName>
      <ability>L2_Keyword</ability>
      <abilityName>固定表述</abilityName>
      <candidateList>
        <item>强化系统集成</item>
      </candidateList>
      <explain>词汇“强化系统集成”在特定场景下为固定表述形式，请确认此处的“强调系统集成”是否存在不当。</explain>
      <paraID>427C1CF6</paraID>
      <start>101</start>
      <end>107</end>
      <status>modified</status>
      <modifiedWord>强化系统集成</modifiedWord>
      <trackRevisions>false</trackRevisions>
    </reviewItem>
    <reviewItem>
      <errorID>06716f67-f860-43de-bb03-9e08d330262f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4EBD473A</paraID>
      <start>0</start>
      <end>2</end>
      <status>ignored</status>
      <modifiedWord/>
      <trackRevisions>false</trackRevisions>
    </reviewItem>
    <reviewItem>
      <errorID>985cb655-0608-493a-b1aa-b4e301b3d0d8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5BC7FE56</paraID>
      <start>0</start>
      <end>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7f5ed7-6f50-4eac-befe-98ab1ee17244}">
  <ds:schemaRefs/>
</ds:datastoreItem>
</file>

<file path=docProps/app.xml><?xml version="1.0" encoding="utf-8"?>
<Properties xmlns="http://schemas.openxmlformats.org/officeDocument/2006/extended-properties" xmlns:vt="http://schemas.openxmlformats.org/officeDocument/2006/docPropsVTypes">
  <Template>Normal</Template>
  <Pages>12</Pages>
  <Words>5235</Words>
  <Characters>5285</Characters>
  <Lines>142</Lines>
  <Paragraphs>90</Paragraphs>
  <TotalTime>5</TotalTime>
  <ScaleCrop>false</ScaleCrop>
  <LinksUpToDate>false</LinksUpToDate>
  <CharactersWithSpaces>5292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2026-03-03T07:47:00Z</dcterms:created>
  <dc:creator>Jy Tsai</dc:creator>
  <cp:lastModifiedBy>刘定钧</cp:lastModifiedBy>
  <dcterms:modified xsi:type="dcterms:W3CDTF">2026-03-11T00:47:30Z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eyJoZGlkIjoiNDBkZjdmYzYwMzBiNTdlMGRlZjVhMGZiOGQ4YzZkMjMiLCJ1c2VySWQiOiI0MTkxNTk1NjIifQ==</vt:lpwstr>
  </property>
  <property fmtid="{D5CDD505-2E9C-101B-9397-08002B2CF9AE}" pid="3" name="KSOProductBuildVer">
    <vt:lpwstr>2052-12.1.0.25225</vt:lpwstr>
  </property>
  <property fmtid="{D5CDD505-2E9C-101B-9397-08002B2CF9AE}" pid="4" name="ICV">
    <vt:lpwstr>867051C72B0D4DCFB3B243440E60A692_12</vt:lpwstr>
  </property>
</Properties>
</file>