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8510">
      <w:pPr>
        <w:keepNext w:val="0"/>
        <w:keepLines w:val="0"/>
        <w:pageBreakBefore w:val="0"/>
        <w:kinsoku/>
        <w:wordWrap/>
        <w:overflowPunct/>
        <w:topLinePunct w:val="0"/>
        <w:autoSpaceDE/>
        <w:autoSpaceDN/>
        <w:bidi w:val="0"/>
        <w:adjustRightInd/>
        <w:snapToGrid/>
        <w:spacing w:before="157" w:beforeLines="5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兴化市既有住宅增设电梯实施办法</w:t>
      </w:r>
    </w:p>
    <w:p w14:paraId="635B91BB">
      <w:pPr>
        <w:keepNext w:val="0"/>
        <w:keepLines w:val="0"/>
        <w:pageBreakBefore w:val="0"/>
        <w:kinsoku/>
        <w:wordWrap/>
        <w:overflowPunct/>
        <w:topLinePunct w:val="0"/>
        <w:autoSpaceDE/>
        <w:autoSpaceDN/>
        <w:bidi w:val="0"/>
        <w:adjustRightInd/>
        <w:snapToGrid/>
        <w:spacing w:before="157" w:beforeLines="50"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（征求意见稿）</w:t>
      </w:r>
    </w:p>
    <w:p w14:paraId="381396B8">
      <w:pPr>
        <w:keepNext w:val="0"/>
        <w:keepLines w:val="0"/>
        <w:pageBreakBefore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Times New Roman" w:hAnsi="Times New Roman" w:eastAsia="仿宋_GB2312" w:cs="Times New Roman"/>
          <w:color w:val="auto"/>
          <w:sz w:val="32"/>
          <w:szCs w:val="32"/>
          <w:lang w:eastAsia="zh-CN"/>
        </w:rPr>
      </w:pPr>
    </w:p>
    <w:p w14:paraId="0E7A05D5">
      <w:pPr>
        <w:keepNext w:val="0"/>
        <w:keepLines w:val="0"/>
        <w:pageBreakBefore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为适应社会发展，完善既有住宅的使用功能，根据《泰州市政府办公室关于印发泰州市既有住宅增设电梯实施意见的通知》（泰政办发〔2021〕24号）文件精神，结合本市实际，制定本办法。</w:t>
      </w:r>
    </w:p>
    <w:p w14:paraId="3A09B44A">
      <w:pPr>
        <w:numPr>
          <w:ilvl w:val="0"/>
          <w:numId w:val="0"/>
        </w:numPr>
        <w:spacing w:line="560" w:lineRule="exact"/>
        <w:ind w:firstLine="640" w:firstLineChars="200"/>
        <w:rPr>
          <w:rFonts w:hint="default" w:ascii="Times New Roman" w:hAnsi="Times New Roman" w:eastAsia="黑体" w:cs="Times New Roman"/>
          <w:sz w:val="32"/>
          <w:szCs w:val="32"/>
        </w:rPr>
      </w:pPr>
      <w:r>
        <w:rPr>
          <w:rFonts w:hint="eastAsia" w:ascii="黑体" w:hAnsi="黑体" w:eastAsia="黑体" w:cs="黑体"/>
          <w:kern w:val="2"/>
          <w:sz w:val="32"/>
          <w:szCs w:val="32"/>
          <w:lang w:val="en-US" w:eastAsia="zh-CN" w:bidi="ar-SA"/>
        </w:rPr>
        <w:t>一、</w:t>
      </w:r>
      <w:r>
        <w:rPr>
          <w:rFonts w:hint="default" w:ascii="Times New Roman" w:hAnsi="Times New Roman" w:eastAsia="黑体" w:cs="Times New Roman"/>
          <w:sz w:val="32"/>
          <w:szCs w:val="32"/>
        </w:rPr>
        <w:t>适用范围</w:t>
      </w:r>
    </w:p>
    <w:p w14:paraId="67A76C9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本市行政区域内既有住宅增设电梯工作，适用本办法。本办法所称既有住宅，是指已建成投入使用、具有合法权属证明、未列入房屋征收计划、未配设电梯、具备增设电梯安全条件、结构条件的住宅房屋。</w:t>
      </w:r>
    </w:p>
    <w:p w14:paraId="38A0857D">
      <w:pPr>
        <w:numPr>
          <w:ilvl w:val="0"/>
          <w:numId w:val="0"/>
        </w:numPr>
        <w:spacing w:line="560" w:lineRule="exact"/>
        <w:ind w:firstLine="640" w:firstLineChars="200"/>
        <w:rPr>
          <w:rFonts w:hint="default" w:ascii="Times New Roman" w:hAnsi="Times New Roman" w:eastAsia="黑体" w:cs="Times New Roman"/>
          <w:sz w:val="32"/>
          <w:szCs w:val="32"/>
        </w:rPr>
      </w:pPr>
      <w:r>
        <w:rPr>
          <w:rFonts w:hint="eastAsia" w:ascii="黑体" w:hAnsi="黑体" w:eastAsia="黑体" w:cs="黑体"/>
          <w:kern w:val="2"/>
          <w:sz w:val="32"/>
          <w:szCs w:val="32"/>
          <w:lang w:val="en-US" w:eastAsia="zh-CN" w:bidi="ar-SA"/>
        </w:rPr>
        <w:t>二、</w:t>
      </w:r>
      <w:r>
        <w:rPr>
          <w:rFonts w:hint="default" w:ascii="Times New Roman" w:hAnsi="Times New Roman" w:eastAsia="黑体" w:cs="Times New Roman"/>
          <w:sz w:val="32"/>
          <w:szCs w:val="32"/>
        </w:rPr>
        <w:t>基本原则</w:t>
      </w:r>
    </w:p>
    <w:p w14:paraId="4801532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既有住宅增设电梯遵循</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业主主体、政府指导、各方支持、保障安全</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的原则，简化程序，方便群众。</w:t>
      </w:r>
    </w:p>
    <w:p w14:paraId="273E39C6">
      <w:pPr>
        <w:numPr>
          <w:ilvl w:val="0"/>
          <w:numId w:val="0"/>
        </w:numPr>
        <w:spacing w:line="560" w:lineRule="exact"/>
        <w:ind w:firstLine="640" w:firstLineChars="200"/>
        <w:rPr>
          <w:rFonts w:hint="default" w:ascii="Times New Roman" w:hAnsi="Times New Roman" w:eastAsia="黑体" w:cs="Times New Roman"/>
          <w:sz w:val="32"/>
          <w:szCs w:val="32"/>
        </w:rPr>
      </w:pPr>
      <w:r>
        <w:rPr>
          <w:rFonts w:hint="eastAsia" w:ascii="黑体" w:hAnsi="黑体" w:eastAsia="黑体" w:cs="黑体"/>
          <w:kern w:val="2"/>
          <w:sz w:val="32"/>
          <w:szCs w:val="32"/>
          <w:lang w:val="en-US" w:eastAsia="zh-CN" w:bidi="ar-SA"/>
        </w:rPr>
        <w:t>三、</w:t>
      </w:r>
      <w:r>
        <w:rPr>
          <w:rFonts w:hint="default" w:ascii="Times New Roman" w:hAnsi="Times New Roman" w:eastAsia="黑体" w:cs="Times New Roman"/>
          <w:sz w:val="32"/>
          <w:szCs w:val="32"/>
        </w:rPr>
        <w:t>职责分工</w:t>
      </w:r>
    </w:p>
    <w:p w14:paraId="59D0314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市政府成立市既</w:t>
      </w:r>
      <w:r>
        <w:rPr>
          <w:rFonts w:hint="default" w:ascii="Times New Roman" w:hAnsi="Times New Roman" w:eastAsia="仿宋_GB2312" w:cs="Times New Roman"/>
          <w:color w:val="auto"/>
          <w:sz w:val="32"/>
          <w:szCs w:val="32"/>
        </w:rPr>
        <w:t>有住宅增设电梯工作领导小组，分管副市长任组长，市住建局、</w:t>
      </w:r>
      <w:r>
        <w:rPr>
          <w:rFonts w:hint="default" w:ascii="Times New Roman" w:hAnsi="Times New Roman" w:eastAsia="仿宋_GB2312" w:cs="Times New Roman"/>
          <w:color w:val="auto"/>
          <w:sz w:val="32"/>
          <w:szCs w:val="32"/>
          <w:lang w:eastAsia="zh-CN"/>
        </w:rPr>
        <w:t>数据局</w:t>
      </w:r>
      <w:r>
        <w:rPr>
          <w:rFonts w:hint="default" w:ascii="Times New Roman" w:hAnsi="Times New Roman" w:eastAsia="仿宋_GB2312" w:cs="Times New Roman"/>
          <w:color w:val="auto"/>
          <w:sz w:val="32"/>
          <w:szCs w:val="32"/>
        </w:rPr>
        <w:t>、自然资源和规划局、财政局、市场监管局、城管局、住房公积</w:t>
      </w:r>
      <w:r>
        <w:rPr>
          <w:rFonts w:hint="default" w:ascii="Times New Roman" w:hAnsi="Times New Roman" w:eastAsia="仿宋_GB2312" w:cs="Times New Roman"/>
          <w:sz w:val="32"/>
          <w:szCs w:val="32"/>
        </w:rPr>
        <w:t>金管理中心、消防救援大队、昭阳街道、临城街道、垛田街道等部门单位负责人为成员，负责统筹指导全市既有住宅增设电梯工作，领导小组办公室设在市住建局。</w:t>
      </w:r>
    </w:p>
    <w:p w14:paraId="6A3D7D6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市住建局在市政务服务中心开设我市既有住宅增设电梯集中服务窗口，为既有住宅增设电梯提供一站式服务。</w:t>
      </w:r>
    </w:p>
    <w:p w14:paraId="5C16BB7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各部门单位职责分工如下：</w:t>
      </w:r>
    </w:p>
    <w:p w14:paraId="07A2D44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1.市住建局：</w:t>
      </w:r>
      <w:r>
        <w:rPr>
          <w:rFonts w:hint="default" w:ascii="Times New Roman" w:hAnsi="Times New Roman" w:eastAsia="仿宋_GB2312" w:cs="Times New Roman"/>
          <w:sz w:val="32"/>
          <w:szCs w:val="32"/>
        </w:rPr>
        <w:t>指导协调开展既有住宅增设电梯工作，具体负责牵头组织联合审查，做好既有住宅增设电梯涉及人防工程的相关管理工作，协调和督促水、电、气等单位做好管线迁改工作，开展既有住宅增设电梯的档案归档工作，安排年度既有住宅增设电梯计划，测算提出年度补贴资金需求和补贴资金分配方案。</w:t>
      </w:r>
    </w:p>
    <w:p w14:paraId="78319069">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.市自然资源和规划局：</w:t>
      </w:r>
      <w:r>
        <w:rPr>
          <w:rFonts w:hint="default" w:ascii="Times New Roman" w:hAnsi="Times New Roman" w:eastAsia="仿宋_GB2312" w:cs="Times New Roman"/>
          <w:sz w:val="32"/>
          <w:szCs w:val="32"/>
        </w:rPr>
        <w:t>参与联合审查，具体负责既有住宅增设电梯工作涉及自然资源和规划业务的审查、指导工作。</w:t>
      </w:r>
    </w:p>
    <w:p w14:paraId="108532F6">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.市财政局：</w:t>
      </w:r>
      <w:r>
        <w:rPr>
          <w:rFonts w:hint="default" w:ascii="Times New Roman" w:hAnsi="Times New Roman" w:eastAsia="仿宋_GB2312" w:cs="Times New Roman"/>
          <w:sz w:val="32"/>
          <w:szCs w:val="32"/>
        </w:rPr>
        <w:t>具体负责落实既有住宅增设电梯补贴资金，会同住建部门做好补贴资金的分配、拨付。</w:t>
      </w:r>
    </w:p>
    <w:p w14:paraId="15DF4038">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.市市场监管局：</w:t>
      </w:r>
      <w:r>
        <w:rPr>
          <w:rFonts w:hint="default" w:ascii="Times New Roman" w:hAnsi="Times New Roman" w:eastAsia="仿宋_GB2312" w:cs="Times New Roman"/>
          <w:sz w:val="32"/>
          <w:szCs w:val="32"/>
        </w:rPr>
        <w:t>参与联合审查，具体负责既有住宅增设电梯工作涉及的设备安全监督检验、使用登记等工作</w:t>
      </w:r>
      <w:r>
        <w:rPr>
          <w:rFonts w:hint="default" w:ascii="Times New Roman" w:hAnsi="Times New Roman" w:eastAsia="仿宋_GB2312" w:cs="Times New Roman"/>
          <w:color w:val="auto"/>
          <w:sz w:val="32"/>
          <w:szCs w:val="32"/>
          <w:u w:val="none"/>
        </w:rPr>
        <w:t>。</w:t>
      </w:r>
    </w:p>
    <w:p w14:paraId="1CA9C340">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.市城管局：</w:t>
      </w:r>
      <w:r>
        <w:rPr>
          <w:rFonts w:hint="default" w:ascii="Times New Roman" w:hAnsi="Times New Roman" w:eastAsia="仿宋_GB2312" w:cs="Times New Roman"/>
          <w:sz w:val="32"/>
          <w:szCs w:val="32"/>
        </w:rPr>
        <w:t>参与联合审查，具体负责行政执法管理方面的指导工作。</w:t>
      </w:r>
    </w:p>
    <w:p w14:paraId="70D60C78">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.住房公积金管理中心：</w:t>
      </w:r>
      <w:r>
        <w:rPr>
          <w:rFonts w:hint="default" w:ascii="Times New Roman" w:hAnsi="Times New Roman" w:eastAsia="仿宋_GB2312" w:cs="Times New Roman"/>
          <w:sz w:val="32"/>
          <w:szCs w:val="32"/>
        </w:rPr>
        <w:t>具体负责提取住房公积金用于支付既有住宅增设电梯费用相关政策制定和业务指导工作。</w:t>
      </w:r>
    </w:p>
    <w:p w14:paraId="1FD14D53">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.市消防救援大队：</w:t>
      </w:r>
      <w:r>
        <w:rPr>
          <w:rFonts w:hint="default" w:ascii="Times New Roman" w:hAnsi="Times New Roman" w:eastAsia="仿宋_GB2312" w:cs="Times New Roman"/>
          <w:sz w:val="32"/>
          <w:szCs w:val="32"/>
        </w:rPr>
        <w:t>参与联合审查，具体负责既有住宅增设电梯是否妨碍火灾扑救、应急救援等方面的消防安全指导工作。</w:t>
      </w:r>
    </w:p>
    <w:p w14:paraId="0C395F2F">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.乡镇（街道、开发区）：</w:t>
      </w:r>
      <w:r>
        <w:rPr>
          <w:rFonts w:hint="default" w:ascii="Times New Roman" w:hAnsi="Times New Roman" w:eastAsia="仿宋_GB2312" w:cs="Times New Roman"/>
          <w:sz w:val="32"/>
          <w:szCs w:val="32"/>
        </w:rPr>
        <w:t>具体负责既有住宅增设电梯涉及的政策宣传、业主共同决策、矛盾协调等工作，协助做好目标任务的推进落实工作。</w:t>
      </w:r>
    </w:p>
    <w:p w14:paraId="58A6D3F9">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.供水、供电、供气、通信等相关单位：</w:t>
      </w:r>
      <w:r>
        <w:rPr>
          <w:rFonts w:hint="default" w:ascii="Times New Roman" w:hAnsi="Times New Roman" w:eastAsia="仿宋_GB2312" w:cs="Times New Roman"/>
          <w:sz w:val="32"/>
          <w:szCs w:val="32"/>
        </w:rPr>
        <w:t>负责协助做好既有住宅增设电梯相关工作。</w:t>
      </w:r>
    </w:p>
    <w:p w14:paraId="31F1E4C4">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四、实施程序</w:t>
      </w:r>
    </w:p>
    <w:p w14:paraId="481BA1F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1.业主共同决策。</w:t>
      </w:r>
      <w:r>
        <w:rPr>
          <w:rFonts w:hint="default" w:ascii="Times New Roman" w:hAnsi="Times New Roman" w:eastAsia="仿宋_GB2312" w:cs="Times New Roman"/>
          <w:sz w:val="32"/>
          <w:szCs w:val="32"/>
        </w:rPr>
        <w:t>经本幢或者本单元房屋专有部分面积占比三分之二以上的业主且人数占比三分之二以上的业主参与表决，并经参与表决专有部分面积四分之三以上的业主且参与表决人数四分之三以上的业主书面同意，可以申请增设电梯。</w:t>
      </w:r>
    </w:p>
    <w:p w14:paraId="21C8F82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业主作为使用主体应当就以下事项达成书面协议：</w:t>
      </w:r>
    </w:p>
    <w:p w14:paraId="283B09E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（1）增设电梯工程费用预算及分摊方案；</w:t>
      </w:r>
    </w:p>
    <w:p w14:paraId="5D0E330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（2）确定增设电梯实施单位和监理单位；</w:t>
      </w:r>
    </w:p>
    <w:p w14:paraId="60BE2FB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（3）电梯维护保养方式及其运行、保养、维修等费用分摊方案；</w:t>
      </w:r>
    </w:p>
    <w:p w14:paraId="647A509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（4）其他需要由业主协商确定的事项。</w:t>
      </w:r>
    </w:p>
    <w:p w14:paraId="6A98B6D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2.方案设计。</w:t>
      </w:r>
      <w:r>
        <w:rPr>
          <w:rFonts w:hint="default" w:ascii="Times New Roman" w:hAnsi="Times New Roman" w:eastAsia="仿宋_GB2312" w:cs="Times New Roman"/>
          <w:sz w:val="32"/>
          <w:szCs w:val="32"/>
        </w:rPr>
        <w:t>实施单位应当委托具有相应资质的建筑设计单位，对增设电梯的楼房地形和结构进行现场查勘，设计符合自然资源规划、住房城乡建设、生态环境、消防救援等法律法规和技术标准的设计方案。</w:t>
      </w:r>
    </w:p>
    <w:p w14:paraId="280EDA7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3.联合审查。</w:t>
      </w:r>
      <w:r>
        <w:rPr>
          <w:rFonts w:hint="default" w:ascii="Times New Roman" w:hAnsi="Times New Roman" w:eastAsia="仿宋_GB2312" w:cs="Times New Roman"/>
          <w:sz w:val="32"/>
          <w:szCs w:val="32"/>
        </w:rPr>
        <w:t>使用主体应当向市住建局既有住宅增设电梯集中服务窗口提出增设电梯申请，并提供以下材料：</w:t>
      </w:r>
    </w:p>
    <w:p w14:paraId="399DC27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（1）增设电梯申请表；</w:t>
      </w:r>
    </w:p>
    <w:p w14:paraId="03CAB50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（2）业主共同决策的相关材料；</w:t>
      </w:r>
    </w:p>
    <w:p w14:paraId="0AE3E11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（3）设计方案及施工方案。</w:t>
      </w:r>
    </w:p>
    <w:p w14:paraId="3B1F4B1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市住建局牵头，会同市自然资源和规划局、市场监管局、城管局、消防救援大队等部门单位开展联合审查，并出具联合审查意见。组织联合审查应当通知有关管线单位参加。</w:t>
      </w:r>
    </w:p>
    <w:p w14:paraId="298F7A1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4.现场公示。</w:t>
      </w:r>
      <w:r>
        <w:rPr>
          <w:rFonts w:hint="default" w:ascii="Times New Roman" w:hAnsi="Times New Roman" w:eastAsia="仿宋_GB2312" w:cs="Times New Roman"/>
          <w:sz w:val="32"/>
          <w:szCs w:val="32"/>
        </w:rPr>
        <w:t>实施单位应当在施工前将增设电梯的联合审查意见、设计方案、施工周期及作业时间进行现场公示，公示期不少于5天。</w:t>
      </w:r>
    </w:p>
    <w:p w14:paraId="5A8DDEB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5.进场实施。</w:t>
      </w:r>
      <w:r>
        <w:rPr>
          <w:rFonts w:hint="default" w:ascii="Times New Roman" w:hAnsi="Times New Roman" w:eastAsia="仿宋_GB2312" w:cs="Times New Roman"/>
          <w:sz w:val="32"/>
          <w:szCs w:val="32"/>
        </w:rPr>
        <w:t>实施单位应当在确保水、电、气等基础设施安全并做好施工安全防护的情况下，文明施工，并承担安全管理责任；在电梯安装之前申请并接受电梯检验机构的安全监督检验。监理单位承担现场监督责任。</w:t>
      </w:r>
    </w:p>
    <w:p w14:paraId="72E4C85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6.竣工验收。</w:t>
      </w:r>
      <w:r>
        <w:rPr>
          <w:rFonts w:hint="default" w:ascii="Times New Roman" w:hAnsi="Times New Roman" w:eastAsia="仿宋_GB2312" w:cs="Times New Roman"/>
          <w:sz w:val="32"/>
          <w:szCs w:val="32"/>
        </w:rPr>
        <w:t>使用主体应当在电梯投入使用前，组织设计、施工、监理、电梯企业等单位对增设电梯工程进行竣工验收，竣工验收后将相关档案报市住建局。市市场监管局凭市住建局出具的档案接收通知书依照有关程序办理电梯使用相关手续。</w:t>
      </w:r>
    </w:p>
    <w:p w14:paraId="1339CF0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五、支持政策</w:t>
      </w:r>
    </w:p>
    <w:p w14:paraId="1ECF60FA">
      <w:pPr>
        <w:spacing w:line="560" w:lineRule="exact"/>
        <w:ind w:firstLine="645"/>
        <w:rPr>
          <w:rFonts w:hint="eastAsia" w:ascii="Times New Roman" w:hAnsi="Times New Roman" w:eastAsia="仿宋_GB2312" w:cs="Times New Roman"/>
          <w:b/>
          <w:sz w:val="32"/>
          <w:szCs w:val="32"/>
          <w:lang w:eastAsia="zh-CN"/>
        </w:rPr>
      </w:pPr>
      <w:r>
        <w:rPr>
          <w:rFonts w:hint="default" w:ascii="Times New Roman" w:hAnsi="Times New Roman" w:eastAsia="仿宋_GB2312" w:cs="Times New Roman"/>
          <w:sz w:val="32"/>
          <w:szCs w:val="32"/>
        </w:rPr>
        <w:t>1.对本市行政区域内四层以上（含四层）非单一产权规范增设电梯的，给予每台12万元补贴。昭阳街道、垛田街道行政区域内增设电梯的补贴由市财政全额承担，其余乡镇（街道、开发区）增设电梯的补贴，由市财政和属地乡镇（街道、开发区）各承担 50%。补贴资金优先用于增设电梯涉及的设计监理、管线迁改、周边环境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微整治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、安全检测等工作。对于前期已经实施的增设电梯，参照执行。</w:t>
      </w:r>
    </w:p>
    <w:p w14:paraId="77A9EDE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2.增设电梯的相关业主可以在出资额度内提取本人及其配偶的住房公积金。</w:t>
      </w:r>
    </w:p>
    <w:p w14:paraId="60C8EC5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3.鼓励和支持相关单位及主体按照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统一规划、统一设计、统一施工、分批实施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的方式参与既有住宅增设电梯工作，探索共有产权增设电梯模式。</w:t>
      </w:r>
    </w:p>
    <w:p w14:paraId="15DF0E72">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六、其他事项</w:t>
      </w:r>
    </w:p>
    <w:p w14:paraId="59E2588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既有住宅增设电梯后，不变更房屋产权面积、用地面积。相关房屋所有权转移时，出让人应当书面告知受让人有关增设电梯的权利和义务，受让人自房屋转移登记之日起承担出让人原有的权利和义务。</w:t>
      </w:r>
    </w:p>
    <w:p w14:paraId="3ED46B51">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2.本办法自印发之日起施行。2021年9月7日市政府印发的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兴化市既有住宅增设电梯实施办法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兴政办发</w:t>
      </w:r>
      <w:r>
        <w:rPr>
          <w:rFonts w:hint="default" w:ascii="Times New Roman" w:hAnsi="Times New Roman" w:eastAsia="仿宋_GB2312" w:cs="Times New Roman"/>
          <w:sz w:val="32"/>
          <w:szCs w:val="32"/>
        </w:rPr>
        <w:t>〔2021〕</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同时废止。</w:t>
      </w:r>
    </w:p>
    <w:p w14:paraId="173F68E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本实施办法由市住建局负责解释。</w:t>
      </w:r>
    </w:p>
    <w:p w14:paraId="230DAEAE">
      <w:pPr>
        <w:spacing w:line="560" w:lineRule="exact"/>
        <w:ind w:firstLine="640" w:firstLineChars="200"/>
        <w:rPr>
          <w:rFonts w:hint="default" w:ascii="Times New Roman" w:hAnsi="Times New Roman" w:eastAsia="仿宋_GB2312" w:cs="Times New Roman"/>
          <w:sz w:val="32"/>
          <w:szCs w:val="32"/>
        </w:rPr>
      </w:pPr>
    </w:p>
    <w:p w14:paraId="316D317B">
      <w:pPr>
        <w:spacing w:line="56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附件：兴化市既有住宅增设电梯申请表</w:t>
      </w:r>
    </w:p>
    <w:p w14:paraId="6A788662">
      <w:pPr>
        <w:ind w:firstLine="640" w:firstLineChars="200"/>
        <w:rPr>
          <w:rFonts w:hint="default" w:ascii="Times New Roman" w:hAnsi="Times New Roman" w:eastAsia="仿宋_GB2312" w:cs="Times New Roman"/>
          <w:sz w:val="32"/>
          <w:szCs w:val="32"/>
        </w:rPr>
      </w:pPr>
    </w:p>
    <w:p w14:paraId="50BEE866">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C5FE3C7">
      <w:pPr>
        <w:rPr>
          <w:rFonts w:hint="eastAsia" w:ascii="Times New Roman" w:eastAsia="方正小标宋简体"/>
          <w:sz w:val="32"/>
          <w:szCs w:val="32"/>
        </w:rPr>
      </w:pPr>
      <w:r>
        <w:rPr>
          <w:rFonts w:ascii="Times New Roman" w:hAnsi="黑体" w:eastAsia="黑体" w:cs="Times New Roman"/>
          <w:sz w:val="32"/>
          <w:szCs w:val="32"/>
        </w:rPr>
        <w:t>附件</w:t>
      </w:r>
    </w:p>
    <w:p w14:paraId="1B8CD365">
      <w:pPr>
        <w:jc w:val="center"/>
        <w:rPr>
          <w:rFonts w:ascii="Times New Roman" w:hAnsi="Times New Roman" w:eastAsia="方正小标宋简体"/>
          <w:sz w:val="44"/>
          <w:szCs w:val="44"/>
        </w:rPr>
      </w:pPr>
      <w:r>
        <w:rPr>
          <w:rFonts w:hint="eastAsia" w:ascii="Times New Roman" w:eastAsia="方正小标宋简体"/>
          <w:sz w:val="44"/>
          <w:szCs w:val="44"/>
        </w:rPr>
        <w:t>兴化市</w:t>
      </w:r>
      <w:r>
        <w:rPr>
          <w:rFonts w:ascii="Times New Roman" w:eastAsia="方正小标宋简体"/>
          <w:sz w:val="44"/>
          <w:szCs w:val="44"/>
        </w:rPr>
        <w:t>既有住宅</w:t>
      </w:r>
      <w:r>
        <w:rPr>
          <w:rFonts w:hint="eastAsia" w:ascii="Times New Roman" w:eastAsia="方正小标宋简体"/>
          <w:sz w:val="44"/>
          <w:szCs w:val="44"/>
        </w:rPr>
        <w:t>增设</w:t>
      </w:r>
      <w:r>
        <w:rPr>
          <w:rFonts w:ascii="Times New Roman" w:eastAsia="方正小标宋简体"/>
          <w:sz w:val="44"/>
          <w:szCs w:val="44"/>
        </w:rPr>
        <w:t>电梯申请表</w:t>
      </w:r>
    </w:p>
    <w:p w14:paraId="34BD9389">
      <w:pPr>
        <w:spacing w:line="240" w:lineRule="exact"/>
        <w:rPr>
          <w:rFonts w:ascii="Times New Roman" w:hAnsi="Times New Roman" w:eastAsia="方正小标宋简体"/>
          <w:sz w:val="44"/>
          <w:szCs w:val="44"/>
        </w:rPr>
      </w:pPr>
    </w:p>
    <w:tbl>
      <w:tblPr>
        <w:tblStyle w:val="4"/>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362"/>
        <w:gridCol w:w="1590"/>
        <w:gridCol w:w="1053"/>
        <w:gridCol w:w="1202"/>
        <w:gridCol w:w="1504"/>
      </w:tblGrid>
      <w:tr w14:paraId="673E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7" w:type="dxa"/>
            <w:tcBorders>
              <w:top w:val="single" w:color="auto" w:sz="4" w:space="0"/>
              <w:left w:val="single" w:color="auto" w:sz="4" w:space="0"/>
              <w:bottom w:val="single" w:color="auto" w:sz="4" w:space="0"/>
              <w:right w:val="single" w:color="auto" w:sz="4" w:space="0"/>
            </w:tcBorders>
            <w:noWrap/>
            <w:vAlign w:val="center"/>
          </w:tcPr>
          <w:p w14:paraId="2C90349C">
            <w:pPr>
              <w:jc w:val="center"/>
              <w:rPr>
                <w:rFonts w:ascii="Times New Roman" w:hAnsi="Times New Roman" w:eastAsia="仿宋_GB2312"/>
                <w:bCs/>
                <w:kern w:val="0"/>
                <w:sz w:val="24"/>
              </w:rPr>
            </w:pPr>
            <w:r>
              <w:rPr>
                <w:rFonts w:ascii="Times New Roman" w:eastAsia="仿宋_GB2312"/>
                <w:bCs/>
                <w:sz w:val="24"/>
              </w:rPr>
              <w:t>小区名称</w:t>
            </w:r>
          </w:p>
        </w:tc>
        <w:tc>
          <w:tcPr>
            <w:tcW w:w="4005" w:type="dxa"/>
            <w:gridSpan w:val="3"/>
            <w:tcBorders>
              <w:top w:val="single" w:color="auto" w:sz="4" w:space="0"/>
              <w:left w:val="single" w:color="auto" w:sz="4" w:space="0"/>
              <w:bottom w:val="single" w:color="auto" w:sz="4" w:space="0"/>
              <w:right w:val="single" w:color="auto" w:sz="4" w:space="0"/>
            </w:tcBorders>
            <w:noWrap/>
            <w:vAlign w:val="center"/>
          </w:tcPr>
          <w:p w14:paraId="3A9BCCAB">
            <w:pPr>
              <w:rPr>
                <w:rFonts w:ascii="Times New Roman" w:hAnsi="Times New Roman" w:eastAsia="仿宋_GB2312"/>
                <w:bCs/>
                <w:kern w:val="0"/>
                <w:sz w:val="24"/>
              </w:rPr>
            </w:pPr>
          </w:p>
        </w:tc>
        <w:tc>
          <w:tcPr>
            <w:tcW w:w="1202" w:type="dxa"/>
            <w:tcBorders>
              <w:top w:val="single" w:color="auto" w:sz="4" w:space="0"/>
              <w:left w:val="single" w:color="auto" w:sz="4" w:space="0"/>
              <w:bottom w:val="single" w:color="auto" w:sz="4" w:space="0"/>
              <w:right w:val="single" w:color="auto" w:sz="4" w:space="0"/>
            </w:tcBorders>
            <w:noWrap/>
            <w:vAlign w:val="center"/>
          </w:tcPr>
          <w:p w14:paraId="15BD5F6F">
            <w:pPr>
              <w:jc w:val="center"/>
              <w:rPr>
                <w:rFonts w:ascii="Times New Roman" w:hAnsi="Times New Roman" w:eastAsia="仿宋_GB2312"/>
                <w:bCs/>
                <w:kern w:val="0"/>
                <w:sz w:val="24"/>
              </w:rPr>
            </w:pPr>
            <w:r>
              <w:rPr>
                <w:rFonts w:ascii="Times New Roman" w:eastAsia="仿宋_GB2312"/>
                <w:bCs/>
                <w:sz w:val="24"/>
              </w:rPr>
              <w:t>总层数</w:t>
            </w:r>
          </w:p>
        </w:tc>
        <w:tc>
          <w:tcPr>
            <w:tcW w:w="1504" w:type="dxa"/>
            <w:tcBorders>
              <w:top w:val="single" w:color="auto" w:sz="4" w:space="0"/>
              <w:left w:val="single" w:color="auto" w:sz="4" w:space="0"/>
              <w:bottom w:val="single" w:color="auto" w:sz="4" w:space="0"/>
              <w:right w:val="single" w:color="auto" w:sz="4" w:space="0"/>
            </w:tcBorders>
            <w:noWrap/>
            <w:vAlign w:val="center"/>
          </w:tcPr>
          <w:p w14:paraId="382A6F57">
            <w:pPr>
              <w:rPr>
                <w:rFonts w:ascii="Times New Roman" w:hAnsi="Times New Roman" w:eastAsia="仿宋_GB2312"/>
                <w:bCs/>
                <w:kern w:val="0"/>
                <w:sz w:val="24"/>
              </w:rPr>
            </w:pPr>
          </w:p>
        </w:tc>
      </w:tr>
      <w:tr w14:paraId="52B8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7" w:type="dxa"/>
            <w:tcBorders>
              <w:top w:val="single" w:color="auto" w:sz="4" w:space="0"/>
              <w:left w:val="single" w:color="auto" w:sz="4" w:space="0"/>
              <w:bottom w:val="single" w:color="auto" w:sz="4" w:space="0"/>
              <w:right w:val="single" w:color="auto" w:sz="4" w:space="0"/>
            </w:tcBorders>
            <w:noWrap/>
            <w:vAlign w:val="center"/>
          </w:tcPr>
          <w:p w14:paraId="459A6000">
            <w:pPr>
              <w:jc w:val="center"/>
              <w:rPr>
                <w:rFonts w:ascii="Times New Roman" w:hAnsi="Times New Roman" w:eastAsia="仿宋_GB2312"/>
                <w:bCs/>
                <w:sz w:val="24"/>
              </w:rPr>
            </w:pPr>
            <w:r>
              <w:rPr>
                <w:rFonts w:ascii="Times New Roman" w:eastAsia="仿宋_GB2312"/>
                <w:bCs/>
                <w:sz w:val="24"/>
              </w:rPr>
              <w:t>小区详细地址</w:t>
            </w:r>
          </w:p>
        </w:tc>
        <w:tc>
          <w:tcPr>
            <w:tcW w:w="6711" w:type="dxa"/>
            <w:gridSpan w:val="5"/>
            <w:tcBorders>
              <w:top w:val="single" w:color="auto" w:sz="4" w:space="0"/>
              <w:left w:val="single" w:color="auto" w:sz="4" w:space="0"/>
              <w:bottom w:val="single" w:color="auto" w:sz="4" w:space="0"/>
              <w:right w:val="single" w:color="auto" w:sz="4" w:space="0"/>
            </w:tcBorders>
            <w:noWrap/>
            <w:vAlign w:val="center"/>
          </w:tcPr>
          <w:p w14:paraId="2F4374F3">
            <w:pPr>
              <w:jc w:val="center"/>
              <w:rPr>
                <w:rFonts w:ascii="Times New Roman" w:hAnsi="Times New Roman" w:eastAsia="仿宋_GB2312"/>
                <w:bCs/>
                <w:kern w:val="0"/>
                <w:sz w:val="24"/>
              </w:rPr>
            </w:pPr>
          </w:p>
        </w:tc>
      </w:tr>
      <w:tr w14:paraId="1E2F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7" w:type="dxa"/>
            <w:tcBorders>
              <w:top w:val="single" w:color="auto" w:sz="4" w:space="0"/>
              <w:left w:val="single" w:color="auto" w:sz="4" w:space="0"/>
              <w:bottom w:val="single" w:color="auto" w:sz="4" w:space="0"/>
              <w:right w:val="single" w:color="auto" w:sz="4" w:space="0"/>
            </w:tcBorders>
            <w:noWrap/>
            <w:vAlign w:val="center"/>
          </w:tcPr>
          <w:p w14:paraId="5FC9CECB">
            <w:pPr>
              <w:jc w:val="center"/>
              <w:rPr>
                <w:rFonts w:ascii="Times New Roman" w:hAnsi="Times New Roman" w:eastAsia="仿宋_GB2312"/>
                <w:bCs/>
                <w:kern w:val="0"/>
                <w:sz w:val="24"/>
              </w:rPr>
            </w:pPr>
            <w:r>
              <w:rPr>
                <w:rFonts w:ascii="Times New Roman" w:eastAsia="仿宋_GB2312"/>
                <w:bCs/>
                <w:sz w:val="24"/>
              </w:rPr>
              <w:t>该楼栋总户数</w:t>
            </w:r>
          </w:p>
        </w:tc>
        <w:tc>
          <w:tcPr>
            <w:tcW w:w="1362" w:type="dxa"/>
            <w:tcBorders>
              <w:top w:val="single" w:color="auto" w:sz="4" w:space="0"/>
              <w:left w:val="single" w:color="auto" w:sz="4" w:space="0"/>
              <w:bottom w:val="single" w:color="auto" w:sz="4" w:space="0"/>
              <w:right w:val="single" w:color="auto" w:sz="4" w:space="0"/>
            </w:tcBorders>
            <w:noWrap/>
            <w:vAlign w:val="center"/>
          </w:tcPr>
          <w:p w14:paraId="5E4DC9EF">
            <w:pPr>
              <w:jc w:val="center"/>
              <w:rPr>
                <w:rFonts w:ascii="Times New Roman" w:hAnsi="Times New Roman" w:eastAsia="仿宋_GB2312"/>
                <w:bCs/>
                <w:kern w:val="0"/>
                <w:sz w:val="24"/>
              </w:rPr>
            </w:pPr>
          </w:p>
        </w:tc>
        <w:tc>
          <w:tcPr>
            <w:tcW w:w="1590" w:type="dxa"/>
            <w:tcBorders>
              <w:top w:val="single" w:color="auto" w:sz="4" w:space="0"/>
              <w:left w:val="single" w:color="auto" w:sz="4" w:space="0"/>
              <w:bottom w:val="single" w:color="auto" w:sz="4" w:space="0"/>
              <w:right w:val="single" w:color="auto" w:sz="4" w:space="0"/>
            </w:tcBorders>
            <w:noWrap/>
            <w:vAlign w:val="center"/>
          </w:tcPr>
          <w:p w14:paraId="6C7AE32A">
            <w:pPr>
              <w:jc w:val="center"/>
              <w:rPr>
                <w:rFonts w:ascii="Times New Roman" w:hAnsi="Times New Roman" w:eastAsia="仿宋_GB2312"/>
                <w:bCs/>
                <w:sz w:val="24"/>
              </w:rPr>
            </w:pPr>
            <w:r>
              <w:rPr>
                <w:rFonts w:ascii="Times New Roman" w:eastAsia="仿宋_GB2312"/>
                <w:bCs/>
                <w:sz w:val="24"/>
              </w:rPr>
              <w:t>该单元</w:t>
            </w:r>
          </w:p>
          <w:p w14:paraId="3325B29D">
            <w:pPr>
              <w:jc w:val="center"/>
              <w:rPr>
                <w:rFonts w:ascii="Times New Roman" w:hAnsi="Times New Roman" w:eastAsia="仿宋_GB2312"/>
                <w:bCs/>
                <w:kern w:val="0"/>
                <w:sz w:val="24"/>
              </w:rPr>
            </w:pPr>
            <w:r>
              <w:rPr>
                <w:rFonts w:ascii="Times New Roman" w:eastAsia="仿宋_GB2312"/>
                <w:bCs/>
                <w:sz w:val="24"/>
              </w:rPr>
              <w:t>总户数</w:t>
            </w:r>
          </w:p>
        </w:tc>
        <w:tc>
          <w:tcPr>
            <w:tcW w:w="1053" w:type="dxa"/>
            <w:tcBorders>
              <w:top w:val="single" w:color="auto" w:sz="4" w:space="0"/>
              <w:left w:val="single" w:color="auto" w:sz="4" w:space="0"/>
              <w:bottom w:val="single" w:color="auto" w:sz="4" w:space="0"/>
              <w:right w:val="single" w:color="auto" w:sz="4" w:space="0"/>
            </w:tcBorders>
            <w:noWrap/>
            <w:vAlign w:val="center"/>
          </w:tcPr>
          <w:p w14:paraId="43B6AF5F">
            <w:pPr>
              <w:rPr>
                <w:rFonts w:ascii="Times New Roman" w:hAnsi="Times New Roman" w:eastAsia="仿宋_GB2312"/>
                <w:bCs/>
                <w:kern w:val="0"/>
                <w:sz w:val="24"/>
              </w:rPr>
            </w:pPr>
          </w:p>
        </w:tc>
        <w:tc>
          <w:tcPr>
            <w:tcW w:w="1202" w:type="dxa"/>
            <w:tcBorders>
              <w:top w:val="single" w:color="auto" w:sz="4" w:space="0"/>
              <w:left w:val="single" w:color="auto" w:sz="4" w:space="0"/>
              <w:bottom w:val="single" w:color="auto" w:sz="4" w:space="0"/>
              <w:right w:val="single" w:color="auto" w:sz="4" w:space="0"/>
            </w:tcBorders>
            <w:noWrap/>
            <w:vAlign w:val="center"/>
          </w:tcPr>
          <w:p w14:paraId="34F62EC0">
            <w:pPr>
              <w:jc w:val="center"/>
              <w:rPr>
                <w:rFonts w:ascii="Times New Roman" w:hAnsi="Times New Roman" w:eastAsia="仿宋_GB2312"/>
                <w:bCs/>
                <w:kern w:val="0"/>
                <w:sz w:val="24"/>
              </w:rPr>
            </w:pPr>
            <w:r>
              <w:rPr>
                <w:rFonts w:ascii="Times New Roman" w:eastAsia="仿宋_GB2312"/>
                <w:bCs/>
                <w:kern w:val="0"/>
                <w:sz w:val="24"/>
              </w:rPr>
              <w:t>建成时间</w:t>
            </w:r>
          </w:p>
        </w:tc>
        <w:tc>
          <w:tcPr>
            <w:tcW w:w="1504" w:type="dxa"/>
            <w:tcBorders>
              <w:top w:val="single" w:color="auto" w:sz="4" w:space="0"/>
              <w:left w:val="single" w:color="auto" w:sz="4" w:space="0"/>
              <w:bottom w:val="single" w:color="auto" w:sz="4" w:space="0"/>
              <w:right w:val="single" w:color="auto" w:sz="4" w:space="0"/>
            </w:tcBorders>
            <w:noWrap/>
            <w:vAlign w:val="center"/>
          </w:tcPr>
          <w:p w14:paraId="3FEB3C59">
            <w:pPr>
              <w:rPr>
                <w:rFonts w:ascii="Times New Roman" w:hAnsi="Times New Roman" w:eastAsia="仿宋_GB2312"/>
                <w:bCs/>
                <w:kern w:val="0"/>
                <w:sz w:val="24"/>
              </w:rPr>
            </w:pPr>
          </w:p>
        </w:tc>
      </w:tr>
      <w:tr w14:paraId="7664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7" w:type="dxa"/>
            <w:tcBorders>
              <w:top w:val="single" w:color="auto" w:sz="4" w:space="0"/>
              <w:left w:val="single" w:color="auto" w:sz="4" w:space="0"/>
              <w:bottom w:val="single" w:color="auto" w:sz="4" w:space="0"/>
              <w:right w:val="single" w:color="auto" w:sz="4" w:space="0"/>
            </w:tcBorders>
            <w:noWrap/>
            <w:vAlign w:val="center"/>
          </w:tcPr>
          <w:p w14:paraId="5C351AF3">
            <w:pPr>
              <w:spacing w:line="500" w:lineRule="exact"/>
              <w:jc w:val="center"/>
              <w:rPr>
                <w:rFonts w:ascii="Times New Roman" w:hAnsi="Times New Roman" w:eastAsia="仿宋_GB2312"/>
                <w:bCs/>
                <w:sz w:val="24"/>
              </w:rPr>
            </w:pPr>
            <w:r>
              <w:rPr>
                <w:rFonts w:ascii="Times New Roman" w:eastAsia="仿宋_GB2312"/>
                <w:bCs/>
                <w:sz w:val="24"/>
              </w:rPr>
              <w:t>业主代表</w:t>
            </w:r>
          </w:p>
          <w:p w14:paraId="33E6687F">
            <w:pPr>
              <w:spacing w:line="500" w:lineRule="exact"/>
              <w:jc w:val="center"/>
              <w:rPr>
                <w:rFonts w:ascii="Times New Roman" w:hAnsi="Times New Roman" w:eastAsia="仿宋_GB2312"/>
                <w:bCs/>
                <w:kern w:val="0"/>
                <w:sz w:val="24"/>
              </w:rPr>
            </w:pPr>
            <w:r>
              <w:rPr>
                <w:rFonts w:ascii="Times New Roman" w:eastAsia="仿宋_GB2312"/>
                <w:bCs/>
                <w:sz w:val="24"/>
              </w:rPr>
              <w:t>负责人姓名</w:t>
            </w:r>
          </w:p>
        </w:tc>
        <w:tc>
          <w:tcPr>
            <w:tcW w:w="1362" w:type="dxa"/>
            <w:tcBorders>
              <w:top w:val="single" w:color="auto" w:sz="4" w:space="0"/>
              <w:left w:val="single" w:color="auto" w:sz="4" w:space="0"/>
              <w:bottom w:val="single" w:color="auto" w:sz="4" w:space="0"/>
              <w:right w:val="single" w:color="auto" w:sz="4" w:space="0"/>
            </w:tcBorders>
            <w:noWrap/>
            <w:vAlign w:val="center"/>
          </w:tcPr>
          <w:p w14:paraId="1C568DE5">
            <w:pPr>
              <w:spacing w:line="500" w:lineRule="exact"/>
              <w:jc w:val="center"/>
              <w:rPr>
                <w:rFonts w:ascii="Times New Roman" w:hAnsi="Times New Roman" w:eastAsia="仿宋_GB2312"/>
                <w:bCs/>
                <w:kern w:val="0"/>
                <w:sz w:val="24"/>
              </w:rPr>
            </w:pPr>
          </w:p>
        </w:tc>
        <w:tc>
          <w:tcPr>
            <w:tcW w:w="1590" w:type="dxa"/>
            <w:tcBorders>
              <w:top w:val="single" w:color="auto" w:sz="4" w:space="0"/>
              <w:left w:val="single" w:color="auto" w:sz="4" w:space="0"/>
              <w:bottom w:val="single" w:color="auto" w:sz="4" w:space="0"/>
              <w:right w:val="single" w:color="auto" w:sz="4" w:space="0"/>
            </w:tcBorders>
            <w:noWrap/>
            <w:vAlign w:val="center"/>
          </w:tcPr>
          <w:p w14:paraId="660873DF">
            <w:pPr>
              <w:spacing w:line="500" w:lineRule="exact"/>
              <w:jc w:val="center"/>
              <w:rPr>
                <w:rFonts w:ascii="Times New Roman" w:hAnsi="Times New Roman" w:eastAsia="仿宋_GB2312"/>
                <w:bCs/>
                <w:kern w:val="0"/>
                <w:sz w:val="24"/>
              </w:rPr>
            </w:pPr>
            <w:r>
              <w:rPr>
                <w:rFonts w:ascii="Times New Roman" w:eastAsia="仿宋_GB2312"/>
                <w:bCs/>
                <w:sz w:val="24"/>
              </w:rPr>
              <w:t>房号</w:t>
            </w:r>
          </w:p>
        </w:tc>
        <w:tc>
          <w:tcPr>
            <w:tcW w:w="1053" w:type="dxa"/>
            <w:tcBorders>
              <w:top w:val="single" w:color="auto" w:sz="4" w:space="0"/>
              <w:left w:val="single" w:color="auto" w:sz="4" w:space="0"/>
              <w:bottom w:val="single" w:color="auto" w:sz="4" w:space="0"/>
              <w:right w:val="single" w:color="auto" w:sz="4" w:space="0"/>
            </w:tcBorders>
            <w:noWrap/>
            <w:vAlign w:val="center"/>
          </w:tcPr>
          <w:p w14:paraId="075DFEE6">
            <w:pPr>
              <w:spacing w:line="500" w:lineRule="exact"/>
              <w:rPr>
                <w:rFonts w:ascii="Times New Roman" w:hAnsi="Times New Roman" w:eastAsia="仿宋_GB2312"/>
                <w:bCs/>
                <w:kern w:val="0"/>
                <w:sz w:val="24"/>
              </w:rPr>
            </w:pPr>
          </w:p>
        </w:tc>
        <w:tc>
          <w:tcPr>
            <w:tcW w:w="1202" w:type="dxa"/>
            <w:tcBorders>
              <w:top w:val="single" w:color="auto" w:sz="4" w:space="0"/>
              <w:left w:val="single" w:color="auto" w:sz="4" w:space="0"/>
              <w:bottom w:val="single" w:color="auto" w:sz="4" w:space="0"/>
              <w:right w:val="single" w:color="auto" w:sz="4" w:space="0"/>
            </w:tcBorders>
            <w:noWrap/>
            <w:vAlign w:val="center"/>
          </w:tcPr>
          <w:p w14:paraId="09ED3F5C">
            <w:pPr>
              <w:spacing w:line="500" w:lineRule="exact"/>
              <w:jc w:val="center"/>
              <w:rPr>
                <w:rFonts w:ascii="Times New Roman" w:hAnsi="Times New Roman" w:eastAsia="仿宋_GB2312"/>
                <w:bCs/>
                <w:kern w:val="0"/>
                <w:sz w:val="24"/>
              </w:rPr>
            </w:pPr>
            <w:r>
              <w:rPr>
                <w:rFonts w:ascii="Times New Roman" w:eastAsia="仿宋_GB2312"/>
                <w:bCs/>
                <w:sz w:val="24"/>
              </w:rPr>
              <w:t>联系电话</w:t>
            </w:r>
          </w:p>
        </w:tc>
        <w:tc>
          <w:tcPr>
            <w:tcW w:w="1504" w:type="dxa"/>
            <w:tcBorders>
              <w:top w:val="single" w:color="auto" w:sz="4" w:space="0"/>
              <w:left w:val="single" w:color="auto" w:sz="4" w:space="0"/>
              <w:bottom w:val="single" w:color="auto" w:sz="4" w:space="0"/>
              <w:right w:val="single" w:color="auto" w:sz="4" w:space="0"/>
            </w:tcBorders>
            <w:noWrap/>
            <w:vAlign w:val="center"/>
          </w:tcPr>
          <w:p w14:paraId="59988F20">
            <w:pPr>
              <w:spacing w:line="500" w:lineRule="exact"/>
              <w:rPr>
                <w:rFonts w:ascii="Times New Roman" w:hAnsi="Times New Roman" w:eastAsia="仿宋_GB2312"/>
                <w:bCs/>
                <w:kern w:val="0"/>
                <w:sz w:val="24"/>
              </w:rPr>
            </w:pPr>
          </w:p>
        </w:tc>
      </w:tr>
      <w:tr w14:paraId="698B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57" w:type="dxa"/>
            <w:vMerge w:val="restart"/>
            <w:tcBorders>
              <w:top w:val="single" w:color="auto" w:sz="4" w:space="0"/>
              <w:left w:val="single" w:color="auto" w:sz="4" w:space="0"/>
              <w:bottom w:val="single" w:color="auto" w:sz="4" w:space="0"/>
              <w:right w:val="single" w:color="auto" w:sz="4" w:space="0"/>
            </w:tcBorders>
            <w:noWrap/>
            <w:vAlign w:val="center"/>
          </w:tcPr>
          <w:p w14:paraId="2246E85C">
            <w:pPr>
              <w:spacing w:line="500" w:lineRule="exact"/>
              <w:jc w:val="center"/>
              <w:rPr>
                <w:rFonts w:ascii="Times New Roman" w:hAnsi="Times New Roman" w:eastAsia="仿宋_GB2312"/>
                <w:bCs/>
                <w:kern w:val="0"/>
                <w:sz w:val="24"/>
              </w:rPr>
            </w:pPr>
            <w:r>
              <w:rPr>
                <w:rFonts w:ascii="Times New Roman" w:eastAsia="仿宋_GB2312"/>
                <w:bCs/>
                <w:kern w:val="0"/>
                <w:sz w:val="24"/>
              </w:rPr>
              <w:t>房屋申请</w:t>
            </w:r>
          </w:p>
          <w:p w14:paraId="696D9E79">
            <w:pPr>
              <w:spacing w:line="500" w:lineRule="exact"/>
              <w:jc w:val="center"/>
              <w:rPr>
                <w:rFonts w:ascii="Times New Roman" w:hAnsi="Times New Roman" w:eastAsia="仿宋_GB2312"/>
                <w:bCs/>
                <w:kern w:val="0"/>
                <w:sz w:val="24"/>
              </w:rPr>
            </w:pPr>
            <w:r>
              <w:rPr>
                <w:rFonts w:ascii="Times New Roman" w:eastAsia="仿宋_GB2312"/>
                <w:bCs/>
                <w:kern w:val="0"/>
                <w:sz w:val="24"/>
              </w:rPr>
              <w:t>情况说明</w:t>
            </w:r>
          </w:p>
        </w:tc>
        <w:tc>
          <w:tcPr>
            <w:tcW w:w="1362" w:type="dxa"/>
            <w:tcBorders>
              <w:top w:val="single" w:color="auto" w:sz="4" w:space="0"/>
              <w:left w:val="single" w:color="auto" w:sz="4" w:space="0"/>
              <w:bottom w:val="single" w:color="auto" w:sz="4" w:space="0"/>
              <w:right w:val="single" w:color="auto" w:sz="4" w:space="0"/>
            </w:tcBorders>
            <w:noWrap/>
            <w:vAlign w:val="center"/>
          </w:tcPr>
          <w:p w14:paraId="6AD0BDC3">
            <w:pPr>
              <w:spacing w:line="500" w:lineRule="exact"/>
              <w:jc w:val="center"/>
              <w:rPr>
                <w:rFonts w:ascii="Times New Roman" w:hAnsi="Times New Roman" w:eastAsia="仿宋_GB2312"/>
                <w:bCs/>
                <w:kern w:val="0"/>
                <w:sz w:val="24"/>
              </w:rPr>
            </w:pPr>
            <w:r>
              <w:rPr>
                <w:rFonts w:ascii="Times New Roman" w:eastAsia="仿宋_GB2312"/>
                <w:bCs/>
                <w:kern w:val="0"/>
                <w:sz w:val="24"/>
              </w:rPr>
              <w:t>房屋结构</w:t>
            </w:r>
          </w:p>
        </w:tc>
        <w:tc>
          <w:tcPr>
            <w:tcW w:w="5349" w:type="dxa"/>
            <w:gridSpan w:val="4"/>
            <w:tcBorders>
              <w:top w:val="single" w:color="auto" w:sz="4" w:space="0"/>
              <w:left w:val="single" w:color="auto" w:sz="4" w:space="0"/>
              <w:bottom w:val="single" w:color="auto" w:sz="4" w:space="0"/>
              <w:right w:val="single" w:color="auto" w:sz="4" w:space="0"/>
            </w:tcBorders>
            <w:noWrap/>
            <w:vAlign w:val="center"/>
          </w:tcPr>
          <w:p w14:paraId="645216B4">
            <w:pPr>
              <w:spacing w:line="500" w:lineRule="exact"/>
              <w:rPr>
                <w:rFonts w:ascii="Times New Roman" w:hAnsi="Times New Roman" w:eastAsia="仿宋_GB2312"/>
                <w:bCs/>
                <w:kern w:val="0"/>
                <w:sz w:val="24"/>
              </w:rPr>
            </w:pPr>
          </w:p>
        </w:tc>
      </w:tr>
      <w:tr w14:paraId="3105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957" w:type="dxa"/>
            <w:vMerge w:val="continue"/>
            <w:tcBorders>
              <w:top w:val="single" w:color="auto" w:sz="4" w:space="0"/>
              <w:left w:val="single" w:color="auto" w:sz="4" w:space="0"/>
              <w:bottom w:val="single" w:color="auto" w:sz="4" w:space="0"/>
              <w:right w:val="single" w:color="auto" w:sz="4" w:space="0"/>
            </w:tcBorders>
            <w:noWrap/>
            <w:vAlign w:val="center"/>
          </w:tcPr>
          <w:p w14:paraId="1F6FDAF6">
            <w:pPr>
              <w:spacing w:line="500" w:lineRule="exact"/>
              <w:jc w:val="center"/>
              <w:rPr>
                <w:rFonts w:ascii="Times New Roman" w:hAnsi="Times New Roman" w:eastAsia="仿宋_GB2312"/>
                <w:bCs/>
                <w:kern w:val="0"/>
                <w:sz w:val="24"/>
              </w:rPr>
            </w:pPr>
          </w:p>
        </w:tc>
        <w:tc>
          <w:tcPr>
            <w:tcW w:w="1362" w:type="dxa"/>
            <w:tcBorders>
              <w:top w:val="single" w:color="auto" w:sz="4" w:space="0"/>
              <w:left w:val="single" w:color="auto" w:sz="4" w:space="0"/>
              <w:bottom w:val="single" w:color="auto" w:sz="4" w:space="0"/>
              <w:right w:val="single" w:color="auto" w:sz="4" w:space="0"/>
            </w:tcBorders>
            <w:noWrap/>
            <w:vAlign w:val="center"/>
          </w:tcPr>
          <w:p w14:paraId="62E769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bCs/>
                <w:kern w:val="0"/>
                <w:sz w:val="24"/>
              </w:rPr>
            </w:pPr>
            <w:r>
              <w:rPr>
                <w:rFonts w:ascii="Times New Roman" w:eastAsia="仿宋_GB2312"/>
                <w:bCs/>
                <w:kern w:val="0"/>
                <w:sz w:val="24"/>
              </w:rPr>
              <w:t>资金分摊是否签订协议</w:t>
            </w:r>
          </w:p>
        </w:tc>
        <w:tc>
          <w:tcPr>
            <w:tcW w:w="5349" w:type="dxa"/>
            <w:gridSpan w:val="4"/>
            <w:tcBorders>
              <w:top w:val="single" w:color="auto" w:sz="4" w:space="0"/>
              <w:left w:val="single" w:color="auto" w:sz="4" w:space="0"/>
              <w:bottom w:val="single" w:color="auto" w:sz="4" w:space="0"/>
              <w:right w:val="single" w:color="auto" w:sz="4" w:space="0"/>
            </w:tcBorders>
            <w:noWrap/>
            <w:vAlign w:val="center"/>
          </w:tcPr>
          <w:p w14:paraId="742A528E">
            <w:pPr>
              <w:spacing w:line="500" w:lineRule="exact"/>
              <w:rPr>
                <w:rFonts w:ascii="Times New Roman" w:hAnsi="Times New Roman" w:eastAsia="仿宋_GB2312"/>
                <w:bCs/>
                <w:kern w:val="0"/>
                <w:sz w:val="24"/>
              </w:rPr>
            </w:pPr>
          </w:p>
        </w:tc>
      </w:tr>
      <w:tr w14:paraId="5F8E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957" w:type="dxa"/>
            <w:vMerge w:val="continue"/>
            <w:tcBorders>
              <w:top w:val="single" w:color="auto" w:sz="4" w:space="0"/>
              <w:left w:val="single" w:color="auto" w:sz="4" w:space="0"/>
              <w:bottom w:val="single" w:color="auto" w:sz="4" w:space="0"/>
              <w:right w:val="single" w:color="auto" w:sz="4" w:space="0"/>
            </w:tcBorders>
            <w:noWrap/>
            <w:vAlign w:val="center"/>
          </w:tcPr>
          <w:p w14:paraId="45A60ADB">
            <w:pPr>
              <w:spacing w:line="500" w:lineRule="exact"/>
              <w:jc w:val="center"/>
              <w:rPr>
                <w:rFonts w:ascii="Times New Roman" w:hAnsi="Times New Roman" w:eastAsia="仿宋_GB2312"/>
                <w:bCs/>
                <w:kern w:val="0"/>
                <w:sz w:val="24"/>
              </w:rPr>
            </w:pPr>
          </w:p>
        </w:tc>
        <w:tc>
          <w:tcPr>
            <w:tcW w:w="1362" w:type="dxa"/>
            <w:tcBorders>
              <w:top w:val="single" w:color="auto" w:sz="4" w:space="0"/>
              <w:left w:val="single" w:color="auto" w:sz="4" w:space="0"/>
              <w:bottom w:val="single" w:color="auto" w:sz="4" w:space="0"/>
              <w:right w:val="single" w:color="auto" w:sz="4" w:space="0"/>
            </w:tcBorders>
            <w:noWrap/>
            <w:vAlign w:val="center"/>
          </w:tcPr>
          <w:p w14:paraId="0CC5D4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仿宋_GB2312"/>
                <w:bCs/>
                <w:kern w:val="0"/>
                <w:sz w:val="24"/>
              </w:rPr>
            </w:pPr>
            <w:r>
              <w:rPr>
                <w:rFonts w:ascii="Times New Roman" w:eastAsia="仿宋_GB2312"/>
                <w:bCs/>
                <w:kern w:val="0"/>
                <w:sz w:val="24"/>
              </w:rPr>
              <w:t>是否有后续管理</w:t>
            </w:r>
          </w:p>
          <w:p w14:paraId="71EBE6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bCs/>
                <w:kern w:val="0"/>
                <w:sz w:val="24"/>
              </w:rPr>
            </w:pPr>
            <w:bookmarkStart w:id="0" w:name="_GoBack"/>
            <w:bookmarkEnd w:id="0"/>
            <w:r>
              <w:rPr>
                <w:rFonts w:ascii="Times New Roman" w:eastAsia="仿宋_GB2312"/>
                <w:bCs/>
                <w:kern w:val="0"/>
                <w:sz w:val="24"/>
              </w:rPr>
              <w:t>方案</w:t>
            </w:r>
          </w:p>
        </w:tc>
        <w:tc>
          <w:tcPr>
            <w:tcW w:w="5349" w:type="dxa"/>
            <w:gridSpan w:val="4"/>
            <w:tcBorders>
              <w:top w:val="single" w:color="auto" w:sz="4" w:space="0"/>
              <w:left w:val="single" w:color="auto" w:sz="4" w:space="0"/>
              <w:bottom w:val="single" w:color="auto" w:sz="4" w:space="0"/>
              <w:right w:val="single" w:color="auto" w:sz="4" w:space="0"/>
            </w:tcBorders>
            <w:noWrap/>
            <w:vAlign w:val="center"/>
          </w:tcPr>
          <w:p w14:paraId="29DA372E">
            <w:pPr>
              <w:spacing w:line="500" w:lineRule="exact"/>
              <w:rPr>
                <w:rFonts w:ascii="Times New Roman" w:hAnsi="Times New Roman" w:eastAsia="仿宋_GB2312"/>
                <w:bCs/>
                <w:kern w:val="0"/>
                <w:sz w:val="24"/>
              </w:rPr>
            </w:pPr>
          </w:p>
        </w:tc>
      </w:tr>
      <w:tr w14:paraId="705B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957" w:type="dxa"/>
            <w:tcBorders>
              <w:top w:val="single" w:color="auto" w:sz="4" w:space="0"/>
              <w:left w:val="single" w:color="auto" w:sz="4" w:space="0"/>
              <w:right w:val="single" w:color="auto" w:sz="4" w:space="0"/>
            </w:tcBorders>
            <w:noWrap/>
            <w:vAlign w:val="center"/>
          </w:tcPr>
          <w:p w14:paraId="06E8142F">
            <w:pPr>
              <w:jc w:val="center"/>
              <w:rPr>
                <w:rFonts w:ascii="Times New Roman" w:hAnsi="Times New Roman" w:eastAsia="仿宋_GB2312"/>
                <w:bCs/>
                <w:kern w:val="0"/>
                <w:sz w:val="24"/>
              </w:rPr>
            </w:pPr>
            <w:r>
              <w:rPr>
                <w:rFonts w:ascii="Times New Roman" w:eastAsia="仿宋_GB2312"/>
                <w:bCs/>
                <w:kern w:val="0"/>
                <w:sz w:val="24"/>
              </w:rPr>
              <w:t>所涉居民签字</w:t>
            </w:r>
          </w:p>
        </w:tc>
        <w:tc>
          <w:tcPr>
            <w:tcW w:w="6711" w:type="dxa"/>
            <w:gridSpan w:val="5"/>
            <w:tcBorders>
              <w:top w:val="single" w:color="auto" w:sz="4" w:space="0"/>
              <w:left w:val="single" w:color="auto" w:sz="4" w:space="0"/>
              <w:bottom w:val="single" w:color="auto" w:sz="4" w:space="0"/>
              <w:right w:val="single" w:color="auto" w:sz="4" w:space="0"/>
            </w:tcBorders>
            <w:noWrap/>
            <w:vAlign w:val="center"/>
          </w:tcPr>
          <w:p w14:paraId="0059A583">
            <w:pPr>
              <w:rPr>
                <w:rFonts w:ascii="Times New Roman" w:hAnsi="Times New Roman" w:eastAsia="仿宋_GB2312"/>
                <w:bCs/>
                <w:kern w:val="0"/>
                <w:sz w:val="24"/>
              </w:rPr>
            </w:pPr>
          </w:p>
        </w:tc>
      </w:tr>
    </w:tbl>
    <w:p w14:paraId="03ACCDE4">
      <w:pPr>
        <w:jc w:val="center"/>
        <w:rPr>
          <w:rFonts w:hint="default" w:ascii="Times New Roman" w:hAnsi="Times New Roman" w:eastAsia="仿宋_GB2312" w:cs="Times New Roman"/>
          <w:bCs/>
          <w:sz w:val="24"/>
        </w:rPr>
      </w:pPr>
    </w:p>
    <w:p w14:paraId="47B720EA">
      <w:pPr>
        <w:spacing w:line="600" w:lineRule="exact"/>
        <w:jc w:val="left"/>
        <w:rPr>
          <w:rFonts w:hint="default" w:ascii="Times New Roman" w:hAnsi="Times New Roman" w:eastAsia="方正黑体_GBK" w:cs="Times New Roman"/>
          <w:sz w:val="32"/>
          <w:szCs w:val="32"/>
        </w:rPr>
      </w:pPr>
    </w:p>
    <w:p w14:paraId="6D6F688B">
      <w:pPr>
        <w:spacing w:line="600" w:lineRule="exact"/>
        <w:jc w:val="both"/>
        <w:rPr>
          <w:rFonts w:hint="default" w:ascii="Times New Roman" w:hAnsi="Times New Roman" w:eastAsia="仿宋_GB2312" w:cs="Times New Roman"/>
          <w:sz w:val="32"/>
          <w:szCs w:val="32"/>
          <w:lang w:val="en-US" w:eastAsia="zh-CN"/>
        </w:rPr>
      </w:pPr>
    </w:p>
    <w:sectPr>
      <w:footerReference r:id="rId3" w:type="default"/>
      <w:footerReference r:id="rId4" w:type="even"/>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444C6B-A70E-4AF0-A0A1-C9D09BC4D3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CE1238AB-B68A-40AC-B548-42E846E47080}"/>
  </w:font>
  <w:font w:name="楷体_GB2312">
    <w:panose1 w:val="02010609030101010101"/>
    <w:charset w:val="86"/>
    <w:family w:val="modern"/>
    <w:pitch w:val="default"/>
    <w:sig w:usb0="00000001" w:usb1="080E0000" w:usb2="00000000" w:usb3="00000000" w:csb0="00040000" w:csb1="00000000"/>
    <w:embedRegular r:id="rId3" w:fontKey="{CBCC498C-3751-415C-BAB6-5FF036223EF9}"/>
  </w:font>
  <w:font w:name="仿宋_GB2312">
    <w:panose1 w:val="02010609030101010101"/>
    <w:charset w:val="86"/>
    <w:family w:val="modern"/>
    <w:pitch w:val="default"/>
    <w:sig w:usb0="00000001" w:usb1="080E0000" w:usb2="00000000" w:usb3="00000000" w:csb0="00040000" w:csb1="00000000"/>
    <w:embedRegular r:id="rId4" w:fontKey="{8A1F9521-EB25-4C37-BD60-4797A739A0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B229">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BA0106">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EBA0106">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089BDA9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966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B87714">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1AB87714">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41F37F1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F5"/>
    <w:rsid w:val="00022675"/>
    <w:rsid w:val="000309E8"/>
    <w:rsid w:val="000657D3"/>
    <w:rsid w:val="000B4E20"/>
    <w:rsid w:val="000D1898"/>
    <w:rsid w:val="001227B9"/>
    <w:rsid w:val="00157F69"/>
    <w:rsid w:val="001C1E5E"/>
    <w:rsid w:val="001C2614"/>
    <w:rsid w:val="001C293C"/>
    <w:rsid w:val="00232423"/>
    <w:rsid w:val="002B2DB2"/>
    <w:rsid w:val="002E125F"/>
    <w:rsid w:val="002E2D44"/>
    <w:rsid w:val="002E2FB2"/>
    <w:rsid w:val="002F1084"/>
    <w:rsid w:val="003438B1"/>
    <w:rsid w:val="00355A86"/>
    <w:rsid w:val="00397709"/>
    <w:rsid w:val="003B465C"/>
    <w:rsid w:val="004274A4"/>
    <w:rsid w:val="004547FD"/>
    <w:rsid w:val="004628FA"/>
    <w:rsid w:val="004B1477"/>
    <w:rsid w:val="004B24F9"/>
    <w:rsid w:val="004F2686"/>
    <w:rsid w:val="005A33A8"/>
    <w:rsid w:val="006B64D7"/>
    <w:rsid w:val="007125E8"/>
    <w:rsid w:val="0077015F"/>
    <w:rsid w:val="0080405B"/>
    <w:rsid w:val="00840F91"/>
    <w:rsid w:val="008E6B53"/>
    <w:rsid w:val="0093330C"/>
    <w:rsid w:val="00977C74"/>
    <w:rsid w:val="00A33E61"/>
    <w:rsid w:val="00A5664D"/>
    <w:rsid w:val="00A723F5"/>
    <w:rsid w:val="00AA6856"/>
    <w:rsid w:val="00B02958"/>
    <w:rsid w:val="00B50E48"/>
    <w:rsid w:val="00B913F8"/>
    <w:rsid w:val="00C24856"/>
    <w:rsid w:val="00C368D8"/>
    <w:rsid w:val="00C471FC"/>
    <w:rsid w:val="00CD0698"/>
    <w:rsid w:val="00D90421"/>
    <w:rsid w:val="00DB4B7F"/>
    <w:rsid w:val="00E07E18"/>
    <w:rsid w:val="00E51E16"/>
    <w:rsid w:val="00E8027B"/>
    <w:rsid w:val="00EA456D"/>
    <w:rsid w:val="00EB0871"/>
    <w:rsid w:val="00EC5A55"/>
    <w:rsid w:val="010A7D9C"/>
    <w:rsid w:val="020C6914"/>
    <w:rsid w:val="04752DAC"/>
    <w:rsid w:val="05472EA9"/>
    <w:rsid w:val="05B20FE5"/>
    <w:rsid w:val="06D07B64"/>
    <w:rsid w:val="07776324"/>
    <w:rsid w:val="088323AD"/>
    <w:rsid w:val="0A5E086F"/>
    <w:rsid w:val="0A6600CA"/>
    <w:rsid w:val="0AB45767"/>
    <w:rsid w:val="0AE95411"/>
    <w:rsid w:val="0C1C6680"/>
    <w:rsid w:val="0F5C206B"/>
    <w:rsid w:val="118123EA"/>
    <w:rsid w:val="146C4B23"/>
    <w:rsid w:val="14CA30FF"/>
    <w:rsid w:val="156E0D44"/>
    <w:rsid w:val="15FC0C02"/>
    <w:rsid w:val="16467DC5"/>
    <w:rsid w:val="16500353"/>
    <w:rsid w:val="175B1444"/>
    <w:rsid w:val="17FA5199"/>
    <w:rsid w:val="19B44208"/>
    <w:rsid w:val="19D60C48"/>
    <w:rsid w:val="1BC11DA7"/>
    <w:rsid w:val="1BFB302A"/>
    <w:rsid w:val="1C1D2B86"/>
    <w:rsid w:val="1C6D1AB1"/>
    <w:rsid w:val="1E3A4E57"/>
    <w:rsid w:val="1E432CF8"/>
    <w:rsid w:val="1E5D3CF4"/>
    <w:rsid w:val="1E8D238D"/>
    <w:rsid w:val="21022882"/>
    <w:rsid w:val="21303322"/>
    <w:rsid w:val="223A6A87"/>
    <w:rsid w:val="228128DD"/>
    <w:rsid w:val="2358080B"/>
    <w:rsid w:val="23C01BA4"/>
    <w:rsid w:val="23D5432C"/>
    <w:rsid w:val="251955B6"/>
    <w:rsid w:val="2624159B"/>
    <w:rsid w:val="27D50D9F"/>
    <w:rsid w:val="28EE5663"/>
    <w:rsid w:val="2AD5425F"/>
    <w:rsid w:val="2C9805ED"/>
    <w:rsid w:val="2EF36BC6"/>
    <w:rsid w:val="320B5A4F"/>
    <w:rsid w:val="33CD32BF"/>
    <w:rsid w:val="340A4A25"/>
    <w:rsid w:val="365118BF"/>
    <w:rsid w:val="369F5306"/>
    <w:rsid w:val="37DD1339"/>
    <w:rsid w:val="37EE48A7"/>
    <w:rsid w:val="385E093C"/>
    <w:rsid w:val="398E557D"/>
    <w:rsid w:val="3A7D0A6E"/>
    <w:rsid w:val="3B515635"/>
    <w:rsid w:val="3C5F2FE7"/>
    <w:rsid w:val="3D10745B"/>
    <w:rsid w:val="3D43192A"/>
    <w:rsid w:val="3DA60FE5"/>
    <w:rsid w:val="41A90E07"/>
    <w:rsid w:val="41E80B5C"/>
    <w:rsid w:val="420C5214"/>
    <w:rsid w:val="42594A3A"/>
    <w:rsid w:val="42D737C5"/>
    <w:rsid w:val="43942E5F"/>
    <w:rsid w:val="446E1F07"/>
    <w:rsid w:val="44BD5ACE"/>
    <w:rsid w:val="492B34F9"/>
    <w:rsid w:val="49FB3937"/>
    <w:rsid w:val="4A5C2B60"/>
    <w:rsid w:val="4AE30521"/>
    <w:rsid w:val="4C28670A"/>
    <w:rsid w:val="4E281379"/>
    <w:rsid w:val="4E5959D6"/>
    <w:rsid w:val="50861BAA"/>
    <w:rsid w:val="54175D16"/>
    <w:rsid w:val="57425A51"/>
    <w:rsid w:val="577216CF"/>
    <w:rsid w:val="57AE7605"/>
    <w:rsid w:val="5A680C7F"/>
    <w:rsid w:val="5B0F4E29"/>
    <w:rsid w:val="5B5924C0"/>
    <w:rsid w:val="5C853575"/>
    <w:rsid w:val="5DC72AC6"/>
    <w:rsid w:val="5FDF0FAA"/>
    <w:rsid w:val="601A58BC"/>
    <w:rsid w:val="60BB5879"/>
    <w:rsid w:val="61C176C2"/>
    <w:rsid w:val="62FF589C"/>
    <w:rsid w:val="64D70FAB"/>
    <w:rsid w:val="65200BA4"/>
    <w:rsid w:val="659D3548"/>
    <w:rsid w:val="66061B48"/>
    <w:rsid w:val="68542D34"/>
    <w:rsid w:val="69072971"/>
    <w:rsid w:val="69213E98"/>
    <w:rsid w:val="695D4175"/>
    <w:rsid w:val="69B30735"/>
    <w:rsid w:val="6BE714AE"/>
    <w:rsid w:val="6C056D5C"/>
    <w:rsid w:val="6C0B4084"/>
    <w:rsid w:val="6D862DF5"/>
    <w:rsid w:val="6E7E0DE0"/>
    <w:rsid w:val="6E964B7F"/>
    <w:rsid w:val="6F106398"/>
    <w:rsid w:val="72906A7F"/>
    <w:rsid w:val="73233E76"/>
    <w:rsid w:val="744D7CA4"/>
    <w:rsid w:val="74A11D77"/>
    <w:rsid w:val="74B605EA"/>
    <w:rsid w:val="76015706"/>
    <w:rsid w:val="79C94F79"/>
    <w:rsid w:val="7ED11933"/>
    <w:rsid w:val="7F920C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 w:type="paragraph" w:styleId="9">
    <w:name w:val="List Paragraph"/>
    <w:basedOn w:val="1"/>
    <w:unhideWhenUsed/>
    <w:qFormat/>
    <w:uiPriority w:val="99"/>
    <w:pPr>
      <w:ind w:firstLine="420" w:firstLineChars="200"/>
    </w:pPr>
  </w:style>
  <w:style w:type="paragraph" w:customStyle="1" w:styleId="10">
    <w:name w:val="文头"/>
    <w:basedOn w:val="1"/>
    <w:qFormat/>
    <w:uiPriority w:val="99"/>
    <w:pPr>
      <w:tabs>
        <w:tab w:val="left" w:pos="6663"/>
      </w:tabs>
      <w:autoSpaceDE w:val="0"/>
      <w:autoSpaceDN w:val="0"/>
      <w:snapToGrid w:val="0"/>
      <w:spacing w:after="1000" w:line="3100" w:lineRule="atLeast"/>
      <w:ind w:left="511" w:right="227" w:hanging="284"/>
      <w:jc w:val="distribute"/>
    </w:pPr>
    <w:rPr>
      <w:rFonts w:ascii="汉鼎简大宋" w:hAnsi="Times New Roman" w:eastAsia="汉鼎简大宋" w:cs="宋体"/>
      <w:b/>
      <w:color w:val="FF0000"/>
      <w:w w:val="62"/>
      <w:kern w:val="0"/>
      <w:sz w:val="140"/>
      <w:szCs w:val="20"/>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2265</Words>
  <Characters>2299</Characters>
  <Lines>19</Lines>
  <Paragraphs>5</Paragraphs>
  <TotalTime>1120</TotalTime>
  <ScaleCrop>false</ScaleCrop>
  <LinksUpToDate>false</LinksUpToDate>
  <CharactersWithSpaces>2300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2021-08-24T01:12:00Z</dcterms:created>
  <dc:creator>V2047A</dc:creator>
  <cp:lastModifiedBy>小蘑菇家的泡饭呀</cp:lastModifiedBy>
  <cp:lastPrinted>2025-11-11T06:39:00Z</cp:lastPrinted>
  <dcterms:modified xsi:type="dcterms:W3CDTF">2025-11-13T07:31:01Z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1F73FADAB5EB48DC9C8D6807C8762B72_13</vt:lpwstr>
  </property>
  <property fmtid="{D5CDD505-2E9C-101B-9397-08002B2CF9AE}" pid="3" name="KSOSaveFontToCloudKey">
    <vt:lpwstr>205098976_cloud</vt:lpwstr>
  </property>
  <property fmtid="{D5CDD505-2E9C-101B-9397-08002B2CF9AE}" pid="4" name="KSOProductBuildVer">
    <vt:lpwstr>2052-12.1.0.23542</vt:lpwstr>
  </property>
  <property fmtid="{D5CDD505-2E9C-101B-9397-08002B2CF9AE}" pid="5" name="KSOTemplateDocerSaveRecord">
    <vt:lpwstr>eyJoZGlkIjoiYTlmY2VmYzJkOWVlYTVmZTNjOWNjODVlZGI3ZWMxNDQiLCJ1c2VySWQiOiI2MTcyNTE0ODgifQ==</vt:lpwstr>
  </property>
</Properties>
</file>