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A714DB"/>
    <w:p w14:paraId="7C1DE0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兴化市热电有限责任公司</w:t>
      </w:r>
    </w:p>
    <w:p w14:paraId="0BAD0DC6">
      <w:pPr>
        <w:jc w:val="center"/>
      </w:pPr>
      <w:r>
        <w:rPr>
          <w:rFonts w:hint="eastAsia" w:ascii="Times New Roman" w:hAnsi="Times New Roman" w:eastAsia="方正小标宋简体" w:cs="方正小标宋简体"/>
          <w:color w:val="auto"/>
          <w:sz w:val="44"/>
          <w:szCs w:val="44"/>
        </w:rPr>
        <w:t>202</w:t>
      </w:r>
      <w:r>
        <w:rPr>
          <w:rFonts w:hint="eastAsia" w:ascii="Times New Roman" w:hAnsi="Times New Roman" w:eastAsia="方正小标宋简体" w:cs="方正小标宋简体"/>
          <w:color w:val="auto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年</w:t>
      </w:r>
      <w:r>
        <w:rPr>
          <w:rFonts w:hint="eastAsia" w:ascii="Times New Roman" w:hAnsi="Times New Roman" w:eastAsia="方正小标宋简体" w:cs="Times New Roman"/>
          <w:color w:val="auto"/>
          <w:sz w:val="44"/>
          <w:szCs w:val="44"/>
          <w:lang w:val="en-US" w:eastAsia="zh-CN"/>
        </w:rPr>
        <w:t>10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月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供热价格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eastAsia="zh-CN"/>
        </w:rPr>
        <w:t>应急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联动方案</w:t>
      </w:r>
    </w:p>
    <w:p w14:paraId="4CF13A9C">
      <w:pPr>
        <w:jc w:val="center"/>
        <w:rPr>
          <w:rFonts w:hint="eastAsia" w:eastAsiaTheme="minorEastAsia"/>
          <w:lang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（征求意见稿）</w:t>
      </w:r>
    </w:p>
    <w:p w14:paraId="7E1B8D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CEEFC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根据中国煤炭资源网发布的</w:t>
      </w:r>
      <w:r>
        <w:rPr>
          <w:rFonts w:hint="eastAsia" w:ascii="Times New Roman" w:hAnsi="Times New Roman" w:eastAsia="仿宋_GB2312" w:cs="仿宋_GB2312"/>
          <w:sz w:val="32"/>
          <w:szCs w:val="32"/>
        </w:rPr>
        <w:t>202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月份</w:t>
      </w:r>
      <w:r>
        <w:rPr>
          <w:rFonts w:hint="eastAsia" w:ascii="仿宋_GB2312" w:hAnsi="仿宋_GB2312" w:eastAsia="仿宋_GB2312" w:cs="仿宋_GB2312"/>
          <w:sz w:val="32"/>
          <w:szCs w:val="32"/>
        </w:rPr>
        <w:t>秦皇岛港动力煤</w:t>
      </w:r>
      <w:r>
        <w:rPr>
          <w:rFonts w:hint="eastAsia" w:ascii="Times New Roman" w:hAnsi="Times New Roman" w:eastAsia="仿宋_GB2312" w:cs="仿宋_GB2312"/>
          <w:sz w:val="32"/>
          <w:szCs w:val="32"/>
        </w:rPr>
        <w:t>5500</w:t>
      </w:r>
      <w:r>
        <w:rPr>
          <w:rFonts w:hint="eastAsia" w:ascii="仿宋_GB2312" w:hAnsi="仿宋_GB2312" w:eastAsia="仿宋_GB2312" w:cs="仿宋_GB2312"/>
          <w:sz w:val="32"/>
          <w:szCs w:val="32"/>
        </w:rPr>
        <w:t>大卡混煤港口价格指数,初步拟定兴化热电有限责任公司</w:t>
      </w:r>
      <w:r>
        <w:rPr>
          <w:rFonts w:hint="eastAsia" w:ascii="Times New Roman" w:hAnsi="Times New Roman" w:eastAsia="仿宋_GB2312" w:cs="仿宋_GB2312"/>
          <w:sz w:val="32"/>
          <w:szCs w:val="32"/>
        </w:rPr>
        <w:t>202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</w:rPr>
        <w:t>供热价格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应急</w:t>
      </w:r>
      <w:r>
        <w:rPr>
          <w:rFonts w:hint="eastAsia" w:ascii="仿宋_GB2312" w:hAnsi="仿宋_GB2312" w:eastAsia="仿宋_GB2312" w:cs="仿宋_GB2312"/>
          <w:sz w:val="32"/>
          <w:szCs w:val="32"/>
        </w:rPr>
        <w:t>联动方案。</w:t>
      </w:r>
    </w:p>
    <w:p w14:paraId="71EE4E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一、政策依据及规定</w:t>
      </w:r>
    </w:p>
    <w:p w14:paraId="7C5242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.《江苏省定价目录》(苏发改规发</w:t>
      </w:r>
      <w:r>
        <w:rPr>
          <w:rFonts w:hint="eastAsia" w:ascii="楷体_GB2312" w:hAnsi="楷体_GB2312" w:eastAsia="楷体_GB2312" w:cs="楷体_GB2312"/>
          <w:sz w:val="32"/>
          <w:szCs w:val="32"/>
        </w:rPr>
        <w:t>〔</w:t>
      </w:r>
      <w:r>
        <w:rPr>
          <w:rFonts w:hint="eastAsia" w:ascii="Times New Roman" w:hAnsi="Times New Roman" w:eastAsia="楷体_GB2312" w:cs="Times New Roman"/>
          <w:sz w:val="32"/>
          <w:szCs w:val="32"/>
          <w:lang w:val="en-US" w:eastAsia="zh-CN"/>
        </w:rPr>
        <w:t>2023</w:t>
      </w:r>
      <w:r>
        <w:rPr>
          <w:rFonts w:hint="eastAsia" w:ascii="楷体_GB2312" w:hAnsi="楷体_GB2312" w:eastAsia="楷体_GB2312" w:cs="楷体_GB2312"/>
          <w:sz w:val="32"/>
          <w:szCs w:val="32"/>
        </w:rPr>
        <w:t>〕</w:t>
      </w:r>
      <w:r>
        <w:rPr>
          <w:rFonts w:hint="eastAsia" w:ascii="Times New Roman" w:hAnsi="Times New Roman" w:eastAsia="仿宋_GB2312" w:cs="仿宋_GB2312"/>
          <w:sz w:val="32"/>
          <w:szCs w:val="32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号)规定，供热价格授权市、县人民政府定价。</w:t>
      </w:r>
    </w:p>
    <w:p w14:paraId="10ABC9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16" w:firstLineChars="200"/>
        <w:textAlignment w:val="auto"/>
        <w:rPr>
          <w:rFonts w:hint="eastAsia" w:ascii="仿宋_GB2312" w:hAnsi="仿宋_GB2312" w:eastAsia="仿宋_GB2312" w:cs="仿宋_GB2312"/>
          <w:spacing w:val="-6"/>
          <w:sz w:val="32"/>
          <w:szCs w:val="32"/>
        </w:rPr>
      </w:pPr>
      <w:r>
        <w:rPr>
          <w:rFonts w:hint="eastAsia" w:ascii="Times New Roman" w:hAnsi="Times New Roman" w:eastAsia="仿宋_GB2312" w:cs="仿宋_GB2312"/>
          <w:spacing w:val="-6"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</w:rPr>
        <w:t>.《兴化市热电联产企业煤热价格联动办法</w:t>
      </w:r>
      <w:r>
        <w:rPr>
          <w:rFonts w:hint="eastAsia" w:ascii="仿宋_GB2312" w:hAnsi="仿宋_GB2312" w:eastAsia="仿宋_GB2312" w:cs="仿宋_GB2312"/>
          <w:color w:val="auto"/>
          <w:spacing w:val="-6"/>
          <w:sz w:val="32"/>
          <w:szCs w:val="32"/>
          <w:lang w:eastAsia="zh-CN"/>
        </w:rPr>
        <w:t>（修订）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</w:rPr>
        <w:t>》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  <w:lang w:eastAsia="zh-CN"/>
        </w:rPr>
        <w:t>第六条：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</w:rPr>
        <w:t>煤热价格联动比价，按</w:t>
      </w:r>
      <w:r>
        <w:rPr>
          <w:rFonts w:hint="eastAsia" w:ascii="Times New Roman" w:hAnsi="Times New Roman" w:eastAsia="仿宋_GB2312" w:cs="仿宋_GB2312"/>
          <w:spacing w:val="-6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</w:rPr>
        <w:t>吨</w:t>
      </w:r>
      <w:r>
        <w:rPr>
          <w:rFonts w:hint="eastAsia" w:ascii="Times New Roman" w:hAnsi="Times New Roman" w:eastAsia="仿宋_GB2312" w:cs="仿宋_GB2312"/>
          <w:spacing w:val="-6"/>
          <w:sz w:val="32"/>
          <w:szCs w:val="32"/>
        </w:rPr>
        <w:t>7000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</w:rPr>
        <w:t>大卡标煤生产</w:t>
      </w:r>
      <w:r>
        <w:rPr>
          <w:rFonts w:hint="eastAsia" w:ascii="Times New Roman" w:hAnsi="Times New Roman" w:eastAsia="仿宋_GB2312" w:cs="仿宋_GB2312"/>
          <w:spacing w:val="-6"/>
          <w:sz w:val="32"/>
          <w:szCs w:val="32"/>
        </w:rPr>
        <w:t>8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</w:rPr>
        <w:t>吨蒸汽计算，以及煤价变动分摊比例</w:t>
      </w:r>
      <w:r>
        <w:rPr>
          <w:rFonts w:hint="default" w:ascii="Times New Roman" w:hAnsi="Times New Roman" w:eastAsia="仿宋_GB2312" w:cs="Times New Roman"/>
          <w:spacing w:val="-6"/>
          <w:sz w:val="32"/>
          <w:szCs w:val="32"/>
        </w:rPr>
        <w:t>20%:80%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</w:rPr>
        <w:t>，确定联动系数为</w:t>
      </w:r>
      <w:r>
        <w:rPr>
          <w:rFonts w:hint="eastAsia" w:ascii="Times New Roman" w:hAnsi="Times New Roman" w:eastAsia="仿宋_GB2312" w:cs="仿宋_GB2312"/>
          <w:spacing w:val="-6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</w:rPr>
        <w:t>:</w:t>
      </w:r>
      <w:r>
        <w:rPr>
          <w:rFonts w:hint="eastAsia" w:ascii="Times New Roman" w:hAnsi="Times New Roman" w:eastAsia="仿宋_GB2312" w:cs="仿宋_GB2312"/>
          <w:spacing w:val="-6"/>
          <w:sz w:val="32"/>
          <w:szCs w:val="32"/>
        </w:rPr>
        <w:t>0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</w:rPr>
        <w:t>.</w:t>
      </w:r>
      <w:r>
        <w:rPr>
          <w:rFonts w:hint="eastAsia" w:ascii="Times New Roman" w:hAnsi="Times New Roman" w:eastAsia="仿宋_GB2312" w:cs="仿宋_GB2312"/>
          <w:spacing w:val="-6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</w:rPr>
        <w:t>，即标煤均价每上涨或下降</w:t>
      </w:r>
      <w:r>
        <w:rPr>
          <w:rFonts w:hint="eastAsia" w:ascii="Times New Roman" w:hAnsi="Times New Roman" w:eastAsia="仿宋_GB2312" w:cs="仿宋_GB2312"/>
          <w:spacing w:val="-6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</w:rPr>
        <w:t>元，供热价格相应上涨或下降</w:t>
      </w:r>
      <w:r>
        <w:rPr>
          <w:rFonts w:hint="eastAsia" w:ascii="Times New Roman" w:hAnsi="Times New Roman" w:eastAsia="仿宋_GB2312" w:cs="仿宋_GB2312"/>
          <w:spacing w:val="-6"/>
          <w:sz w:val="32"/>
          <w:szCs w:val="32"/>
        </w:rPr>
        <w:t>0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</w:rPr>
        <w:t>.</w:t>
      </w:r>
      <w:r>
        <w:rPr>
          <w:rFonts w:hint="eastAsia" w:ascii="Times New Roman" w:hAnsi="Times New Roman" w:eastAsia="仿宋_GB2312" w:cs="仿宋_GB2312"/>
          <w:spacing w:val="-6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</w:rPr>
        <w:t>元。</w:t>
      </w:r>
    </w:p>
    <w:p w14:paraId="2634DF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《兴化市热电联产企业煤热价格联动办法</w:t>
      </w:r>
      <w:r>
        <w:rPr>
          <w:rFonts w:hint="eastAsia" w:ascii="仿宋_GB2312" w:hAnsi="仿宋_GB2312" w:eastAsia="仿宋_GB2312" w:cs="仿宋_GB2312"/>
          <w:color w:val="auto"/>
          <w:spacing w:val="-6"/>
          <w:sz w:val="32"/>
          <w:szCs w:val="32"/>
          <w:lang w:eastAsia="zh-CN"/>
        </w:rPr>
        <w:t>（修订）</w:t>
      </w:r>
      <w:r>
        <w:rPr>
          <w:rFonts w:hint="eastAsia" w:ascii="仿宋_GB2312" w:hAnsi="仿宋_GB2312" w:eastAsia="仿宋_GB2312" w:cs="仿宋_GB2312"/>
          <w:sz w:val="32"/>
          <w:szCs w:val="32"/>
        </w:rPr>
        <w:t>》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第七条：当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7000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大卡标煤价格与上一次调整热力价格时的煤价相比，当月上涨或下降超过每吨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9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元时，启动应急机制，于次月及时调整热力价格。</w:t>
      </w:r>
    </w:p>
    <w:p w14:paraId="4DF66A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</w:pPr>
      <w:r>
        <w:rPr>
          <w:rFonts w:hint="eastAsia" w:ascii="黑体" w:hAnsi="黑体" w:eastAsia="黑体" w:cs="黑体"/>
          <w:sz w:val="32"/>
          <w:szCs w:val="32"/>
        </w:rPr>
        <w:t>二、煤炭价格指数变动情况</w:t>
      </w:r>
    </w:p>
    <w:p w14:paraId="4FB8CC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16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-6"/>
          <w:sz w:val="32"/>
          <w:szCs w:val="32"/>
        </w:rPr>
        <w:t>中国煤炭资源网发布的</w:t>
      </w:r>
      <w:r>
        <w:rPr>
          <w:rFonts w:hint="default" w:ascii="Times New Roman" w:hAnsi="Times New Roman" w:eastAsia="仿宋_GB2312" w:cs="Times New Roman"/>
          <w:color w:val="auto"/>
          <w:spacing w:val="-6"/>
          <w:sz w:val="32"/>
          <w:szCs w:val="32"/>
          <w:lang w:val="en-US" w:eastAsia="zh-CN"/>
        </w:rPr>
        <w:t>202</w:t>
      </w:r>
      <w:r>
        <w:rPr>
          <w:rFonts w:hint="eastAsia" w:ascii="Times New Roman" w:hAnsi="Times New Roman" w:eastAsia="仿宋_GB2312" w:cs="Times New Roman"/>
          <w:color w:val="auto"/>
          <w:spacing w:val="-6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auto"/>
          <w:spacing w:val="-6"/>
          <w:sz w:val="32"/>
          <w:szCs w:val="32"/>
          <w:lang w:val="en-US" w:eastAsia="zh-CN"/>
        </w:rPr>
        <w:t>年</w:t>
      </w:r>
      <w:r>
        <w:rPr>
          <w:rFonts w:hint="eastAsia" w:ascii="Times New Roman" w:hAnsi="Times New Roman" w:eastAsia="仿宋_GB2312" w:cs="Times New Roman"/>
          <w:color w:val="auto"/>
          <w:spacing w:val="-6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color w:val="auto"/>
          <w:spacing w:val="-6"/>
          <w:sz w:val="32"/>
          <w:szCs w:val="32"/>
          <w:lang w:val="en-US" w:eastAsia="zh-CN"/>
        </w:rPr>
        <w:t>月秦皇岛港动力煤</w:t>
      </w:r>
      <w:r>
        <w:rPr>
          <w:rFonts w:hint="default" w:ascii="Times New Roman" w:hAnsi="Times New Roman" w:eastAsia="仿宋_GB2312" w:cs="Times New Roman"/>
          <w:color w:val="auto"/>
          <w:spacing w:val="-6"/>
          <w:sz w:val="32"/>
          <w:szCs w:val="32"/>
          <w:lang w:val="en-US" w:eastAsia="zh-CN"/>
        </w:rPr>
        <w:t>5500</w:t>
      </w:r>
      <w:r>
        <w:rPr>
          <w:rFonts w:hint="eastAsia" w:ascii="仿宋_GB2312" w:hAnsi="仿宋_GB2312" w:eastAsia="仿宋_GB2312" w:cs="仿宋_GB2312"/>
          <w:color w:val="auto"/>
          <w:spacing w:val="-6"/>
          <w:sz w:val="32"/>
          <w:szCs w:val="32"/>
          <w:lang w:val="en-US" w:eastAsia="zh-CN"/>
        </w:rPr>
        <w:t>大卡混煤港口</w:t>
      </w:r>
      <w:r>
        <w:rPr>
          <w:rFonts w:hint="eastAsia" w:ascii="仿宋_GB2312" w:hAnsi="仿宋_GB2312" w:eastAsia="仿宋_GB2312" w:cs="仿宋_GB2312"/>
          <w:color w:val="auto"/>
          <w:spacing w:val="-6"/>
          <w:sz w:val="32"/>
          <w:szCs w:val="32"/>
        </w:rPr>
        <w:t>平仓均价</w:t>
      </w:r>
      <w:r>
        <w:rPr>
          <w:rFonts w:hint="eastAsia" w:ascii="Times New Roman" w:hAnsi="Times New Roman" w:eastAsia="仿宋_GB2312" w:cs="仿宋_GB2312"/>
          <w:color w:val="auto"/>
          <w:spacing w:val="-6"/>
          <w:sz w:val="32"/>
          <w:szCs w:val="32"/>
          <w:lang w:val="en-US" w:eastAsia="zh-CN"/>
        </w:rPr>
        <w:t>968.64</w:t>
      </w:r>
      <w:r>
        <w:rPr>
          <w:rFonts w:hint="eastAsia" w:ascii="仿宋_GB2312" w:hAnsi="仿宋_GB2312" w:eastAsia="仿宋_GB2312" w:cs="仿宋_GB2312"/>
          <w:color w:val="auto"/>
          <w:spacing w:val="-6"/>
          <w:sz w:val="32"/>
          <w:szCs w:val="32"/>
        </w:rPr>
        <w:t>元/吨</w:t>
      </w:r>
      <w:r>
        <w:rPr>
          <w:rFonts w:hint="eastAsia" w:ascii="仿宋_GB2312" w:hAnsi="仿宋_GB2312" w:eastAsia="仿宋_GB2312" w:cs="仿宋_GB2312"/>
          <w:color w:val="auto"/>
          <w:spacing w:val="-6"/>
          <w:sz w:val="32"/>
          <w:szCs w:val="32"/>
          <w:lang w:eastAsia="zh-CN"/>
        </w:rPr>
        <w:t>（见附件），折算成</w:t>
      </w:r>
      <w:r>
        <w:rPr>
          <w:rFonts w:hint="eastAsia" w:ascii="Times New Roman" w:hAnsi="Times New Roman" w:eastAsia="仿宋_GB2312" w:cs="仿宋_GB2312"/>
          <w:color w:val="auto"/>
          <w:spacing w:val="-6"/>
          <w:sz w:val="32"/>
          <w:szCs w:val="32"/>
          <w:lang w:val="en-US" w:eastAsia="zh-CN"/>
        </w:rPr>
        <w:t>7000</w:t>
      </w:r>
      <w:r>
        <w:rPr>
          <w:rFonts w:hint="eastAsia" w:ascii="仿宋_GB2312" w:hAnsi="仿宋_GB2312" w:eastAsia="仿宋_GB2312" w:cs="仿宋_GB2312"/>
          <w:color w:val="auto"/>
          <w:spacing w:val="-6"/>
          <w:sz w:val="32"/>
          <w:szCs w:val="32"/>
          <w:lang w:val="en-US" w:eastAsia="zh-CN"/>
        </w:rPr>
        <w:t>大卡标煤</w:t>
      </w:r>
      <w:r>
        <w:rPr>
          <w:rFonts w:hint="eastAsia" w:ascii="仿宋_GB2312" w:hAnsi="仿宋_GB2312" w:eastAsia="仿宋_GB2312" w:cs="仿宋_GB2312"/>
          <w:color w:val="auto"/>
          <w:spacing w:val="-6"/>
          <w:sz w:val="32"/>
          <w:szCs w:val="32"/>
        </w:rPr>
        <w:t>价格</w:t>
      </w:r>
      <w:r>
        <w:rPr>
          <w:rFonts w:hint="eastAsia" w:ascii="Times New Roman" w:hAnsi="Times New Roman" w:eastAsia="仿宋_GB2312" w:cs="仿宋_GB2312"/>
          <w:color w:val="auto"/>
          <w:spacing w:val="-6"/>
          <w:sz w:val="32"/>
          <w:szCs w:val="32"/>
          <w:lang w:val="en-US" w:eastAsia="zh-CN"/>
        </w:rPr>
        <w:t>1232.81</w:t>
      </w:r>
      <w:r>
        <w:rPr>
          <w:rFonts w:hint="eastAsia" w:ascii="仿宋_GB2312" w:hAnsi="仿宋_GB2312" w:eastAsia="仿宋_GB2312" w:cs="仿宋_GB2312"/>
          <w:color w:val="auto"/>
          <w:spacing w:val="-6"/>
          <w:sz w:val="32"/>
          <w:szCs w:val="32"/>
        </w:rPr>
        <w:t>元/吨</w:t>
      </w:r>
      <w:r>
        <w:rPr>
          <w:rFonts w:hint="eastAsia" w:ascii="仿宋_GB2312" w:hAnsi="仿宋_GB2312" w:eastAsia="仿宋_GB2312" w:cs="仿宋_GB2312"/>
          <w:color w:val="auto"/>
          <w:spacing w:val="-6"/>
          <w:sz w:val="32"/>
          <w:szCs w:val="32"/>
          <w:lang w:eastAsia="zh-CN"/>
        </w:rPr>
        <w:t>，较上一次调整热力价格时</w:t>
      </w:r>
      <w:r>
        <w:rPr>
          <w:rFonts w:hint="eastAsia" w:ascii="仿宋_GB2312" w:hAnsi="仿宋_GB2312" w:eastAsia="仿宋_GB2312" w:cs="仿宋_GB2312"/>
          <w:color w:val="auto"/>
          <w:spacing w:val="-6"/>
          <w:sz w:val="32"/>
          <w:szCs w:val="32"/>
          <w:lang w:val="en-US" w:eastAsia="zh-CN"/>
        </w:rPr>
        <w:t>的</w:t>
      </w:r>
      <w:r>
        <w:rPr>
          <w:rFonts w:hint="eastAsia" w:ascii="Times New Roman" w:hAnsi="Times New Roman" w:eastAsia="仿宋_GB2312" w:cs="仿宋_GB2312"/>
          <w:color w:val="auto"/>
          <w:spacing w:val="-6"/>
          <w:sz w:val="32"/>
          <w:szCs w:val="32"/>
          <w:lang w:val="en-US" w:eastAsia="zh-CN"/>
        </w:rPr>
        <w:t>1040.96</w:t>
      </w:r>
      <w:r>
        <w:rPr>
          <w:rFonts w:hint="eastAsia" w:ascii="仿宋_GB2312" w:hAnsi="仿宋_GB2312" w:eastAsia="仿宋_GB2312" w:cs="仿宋_GB2312"/>
          <w:color w:val="auto"/>
          <w:spacing w:val="-6"/>
          <w:sz w:val="32"/>
          <w:szCs w:val="32"/>
        </w:rPr>
        <w:t>元/吨</w:t>
      </w:r>
      <w:r>
        <w:rPr>
          <w:rFonts w:hint="eastAsia" w:ascii="仿宋_GB2312" w:hAnsi="仿宋_GB2312" w:eastAsia="仿宋_GB2312" w:cs="仿宋_GB2312"/>
          <w:color w:val="auto"/>
          <w:spacing w:val="-6"/>
          <w:sz w:val="32"/>
          <w:szCs w:val="32"/>
          <w:lang w:eastAsia="zh-CN"/>
        </w:rPr>
        <w:t>相比上涨</w:t>
      </w:r>
      <w:r>
        <w:rPr>
          <w:rFonts w:hint="eastAsia" w:ascii="Times New Roman" w:hAnsi="Times New Roman" w:eastAsia="仿宋_GB2312" w:cs="仿宋_GB2312"/>
          <w:color w:val="auto"/>
          <w:spacing w:val="-6"/>
          <w:sz w:val="32"/>
          <w:szCs w:val="32"/>
          <w:lang w:val="en-US" w:eastAsia="zh-CN"/>
        </w:rPr>
        <w:t>191.85</w:t>
      </w:r>
      <w:r>
        <w:rPr>
          <w:rFonts w:hint="eastAsia" w:ascii="仿宋_GB2312" w:hAnsi="仿宋_GB2312" w:eastAsia="仿宋_GB2312" w:cs="仿宋_GB2312"/>
          <w:color w:val="auto"/>
          <w:spacing w:val="-6"/>
          <w:sz w:val="32"/>
          <w:szCs w:val="32"/>
        </w:rPr>
        <w:t>元/吨</w:t>
      </w:r>
      <w:r>
        <w:rPr>
          <w:rFonts w:hint="eastAsia" w:ascii="仿宋_GB2312" w:hAnsi="仿宋_GB2312" w:eastAsia="仿宋_GB2312" w:cs="仿宋_GB2312"/>
          <w:color w:val="auto"/>
          <w:spacing w:val="-6"/>
          <w:sz w:val="32"/>
          <w:szCs w:val="32"/>
          <w:lang w:eastAsia="zh-CN"/>
        </w:rPr>
        <w:t>，达到应急联动启动条件。</w:t>
      </w:r>
    </w:p>
    <w:p w14:paraId="57C31F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价格调整初步</w:t>
      </w:r>
      <w:r>
        <w:rPr>
          <w:rFonts w:hint="eastAsia" w:ascii="黑体" w:hAnsi="黑体" w:eastAsia="黑体" w:cs="黑体"/>
          <w:sz w:val="32"/>
          <w:szCs w:val="32"/>
        </w:rPr>
        <w:t>方案</w:t>
      </w:r>
    </w:p>
    <w:p w14:paraId="305E44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eastAsia="zh-CN"/>
        </w:rPr>
        <w:t>（一）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根据《兴化市热电联产企业煤热价格联动办法</w:t>
      </w:r>
      <w:r>
        <w:rPr>
          <w:rFonts w:hint="eastAsia" w:ascii="仿宋_GB2312" w:hAnsi="仿宋_GB2312" w:eastAsia="仿宋_GB2312" w:cs="仿宋_GB2312"/>
          <w:color w:val="auto"/>
          <w:spacing w:val="-6"/>
          <w:sz w:val="32"/>
          <w:szCs w:val="32"/>
          <w:lang w:eastAsia="zh-CN"/>
        </w:rPr>
        <w:t>（修订）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》确定的联动系数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</w:rPr>
        <w:t>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.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</w:rPr>
        <w:t>10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</w:rPr>
        <w:t>202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  <w:t>6年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第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季度执行价格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39.27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元/吨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第二季度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</w:rPr>
        <w:t>7000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大卡标煤均价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1040.96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元/吨测算，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202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年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月应急联动理论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价格为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258.46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元/吨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。</w:t>
      </w:r>
    </w:p>
    <w:p w14:paraId="792C64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考虑本次应急联动价格（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19.19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元/吨）上涨较大，为缓解下游用热企业压力，促进供热价格平稳实施，本次暂调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元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/吨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，剩余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9.19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元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/吨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拟于后期调整。同时，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因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  <w:t>2026年5月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份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</w:rPr>
        <w:t>7000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大卡标煤均价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1057.43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元/吨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）较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上季度（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909.63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元/吨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）上涨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  <w:t>147.80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元/吨，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超过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  <w:t>90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元/吨，达到应急联动启动条件，当时应调未调，拟于本次先疏导该价格的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1/3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（4.93元/吨），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剩余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2/3（9.85元/吨）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拟于后期调整，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因此，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本次应急联动调整价格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14.93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元/吨。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兴化热电有限责任公司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202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年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  <w:t>10月应急联动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供热价格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拟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调整为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  <w:t>254.20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元/吨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。</w:t>
      </w:r>
    </w:p>
    <w:p w14:paraId="0DFEBD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eastAsia="zh-CN"/>
        </w:rPr>
        <w:t>（二）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执行时间自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</w:rPr>
        <w:t>202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年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月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  <w:t>26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日供热量(抄表量)起执行。</w:t>
      </w:r>
    </w:p>
    <w:p w14:paraId="6D6D21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eastAsia="zh-CN"/>
        </w:rPr>
        <w:t>（三）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超低排放加价仍按原规定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</w:rPr>
        <w:t>3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元/吨执行。</w:t>
      </w:r>
    </w:p>
    <w:p w14:paraId="321FB6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eastAsia="zh-CN"/>
        </w:rPr>
        <w:t>（四）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市热电企业要进一步强化社会责任，切实履行保供稳价和安全生产责任，要加强与热用户的协调沟通，做好价格公示和宣传解释工作，确保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202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年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月份应急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联动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供热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价格平稳实施。</w:t>
      </w:r>
    </w:p>
    <w:p w14:paraId="6671551F"/>
    <w:p w14:paraId="7CD5C896"/>
    <w:p w14:paraId="624FF15B"/>
    <w:p w14:paraId="52FA657B"/>
    <w:p w14:paraId="04D62605">
      <w:pPr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附表</w:t>
      </w:r>
    </w:p>
    <w:p w14:paraId="429C45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32"/>
          <w:szCs w:val="32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32"/>
          <w:szCs w:val="32"/>
        </w:rPr>
        <w:t>秦皇岛港动力煤</w:t>
      </w:r>
      <w:r>
        <w:rPr>
          <w:rFonts w:hint="eastAsia" w:ascii="Times New Roman" w:hAnsi="Times New Roman" w:eastAsia="方正小标宋简体" w:cs="方正小标宋简体"/>
          <w:color w:val="auto"/>
          <w:sz w:val="32"/>
          <w:szCs w:val="32"/>
        </w:rPr>
        <w:t>5500</w:t>
      </w:r>
      <w:r>
        <w:rPr>
          <w:rFonts w:hint="eastAsia" w:ascii="方正小标宋简体" w:hAnsi="方正小标宋简体" w:eastAsia="方正小标宋简体" w:cs="方正小标宋简体"/>
          <w:color w:val="auto"/>
          <w:sz w:val="32"/>
          <w:szCs w:val="32"/>
        </w:rPr>
        <w:t>大卡混煤</w:t>
      </w:r>
      <w:r>
        <w:rPr>
          <w:rFonts w:hint="eastAsia" w:ascii="方正小标宋简体" w:hAnsi="方正小标宋简体" w:eastAsia="方正小标宋简体" w:cs="方正小标宋简体"/>
          <w:color w:val="auto"/>
          <w:sz w:val="32"/>
          <w:szCs w:val="32"/>
          <w:lang w:eastAsia="zh-CN"/>
        </w:rPr>
        <w:t>价格表</w:t>
      </w:r>
    </w:p>
    <w:p w14:paraId="0DDF008C">
      <w:pPr>
        <w:jc w:val="center"/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楷体_GB2312" w:cs="楷体_GB2312"/>
          <w:color w:val="auto"/>
          <w:sz w:val="32"/>
          <w:szCs w:val="32"/>
          <w:lang w:val="en-US" w:eastAsia="zh-CN"/>
        </w:rPr>
        <w:t>2026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  <w:lang w:val="en-US" w:eastAsia="zh-CN"/>
        </w:rPr>
        <w:t>年</w:t>
      </w:r>
      <w:r>
        <w:rPr>
          <w:rFonts w:hint="eastAsia" w:ascii="Times New Roman" w:hAnsi="Times New Roman" w:eastAsia="楷体_GB2312" w:cs="楷体_GB2312"/>
          <w:color w:val="auto"/>
          <w:sz w:val="32"/>
          <w:szCs w:val="32"/>
          <w:lang w:val="en-US" w:eastAsia="zh-CN"/>
        </w:rPr>
        <w:t>9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  <w:lang w:val="en-US" w:eastAsia="zh-CN"/>
        </w:rPr>
        <w:t>月）</w:t>
      </w:r>
    </w:p>
    <w:p w14:paraId="0598049B">
      <w:pPr>
        <w:jc w:val="right"/>
      </w:pP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单位：元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/吨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 w14:paraId="3F9484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4261" w:type="dxa"/>
            <w:vAlign w:val="center"/>
          </w:tcPr>
          <w:p w14:paraId="5BAFE692"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eastAsia="zh-CN"/>
              </w:rPr>
              <w:t>时间</w:t>
            </w:r>
          </w:p>
        </w:tc>
        <w:tc>
          <w:tcPr>
            <w:tcW w:w="4261" w:type="dxa"/>
            <w:vAlign w:val="center"/>
          </w:tcPr>
          <w:p w14:paraId="3699A94A"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eastAsia="zh-CN"/>
              </w:rPr>
              <w:t>价格</w:t>
            </w:r>
          </w:p>
        </w:tc>
      </w:tr>
      <w:tr w14:paraId="2339FC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4261" w:type="dxa"/>
            <w:vAlign w:val="center"/>
          </w:tcPr>
          <w:p w14:paraId="36DAB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2026-09-01</w:t>
            </w:r>
          </w:p>
        </w:tc>
        <w:tc>
          <w:tcPr>
            <w:tcW w:w="4261" w:type="dxa"/>
            <w:vAlign w:val="center"/>
          </w:tcPr>
          <w:p w14:paraId="55751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893</w:t>
            </w:r>
          </w:p>
        </w:tc>
      </w:tr>
      <w:tr w14:paraId="3B1200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4261" w:type="dxa"/>
            <w:vAlign w:val="center"/>
          </w:tcPr>
          <w:p w14:paraId="6AB3D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2026-09-02</w:t>
            </w:r>
          </w:p>
        </w:tc>
        <w:tc>
          <w:tcPr>
            <w:tcW w:w="4261" w:type="dxa"/>
            <w:vAlign w:val="center"/>
          </w:tcPr>
          <w:p w14:paraId="3FAD9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903</w:t>
            </w:r>
          </w:p>
        </w:tc>
      </w:tr>
      <w:tr w14:paraId="192B28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4261" w:type="dxa"/>
            <w:vAlign w:val="center"/>
          </w:tcPr>
          <w:p w14:paraId="2F2C23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2026-09-03</w:t>
            </w:r>
          </w:p>
        </w:tc>
        <w:tc>
          <w:tcPr>
            <w:tcW w:w="4261" w:type="dxa"/>
            <w:vAlign w:val="center"/>
          </w:tcPr>
          <w:p w14:paraId="0FDBF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922</w:t>
            </w:r>
          </w:p>
        </w:tc>
      </w:tr>
      <w:tr w14:paraId="252A7A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4261" w:type="dxa"/>
            <w:vAlign w:val="center"/>
          </w:tcPr>
          <w:p w14:paraId="48297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2026-09-04</w:t>
            </w:r>
          </w:p>
        </w:tc>
        <w:tc>
          <w:tcPr>
            <w:tcW w:w="4261" w:type="dxa"/>
            <w:vAlign w:val="center"/>
          </w:tcPr>
          <w:p w14:paraId="526EA3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942</w:t>
            </w:r>
          </w:p>
        </w:tc>
      </w:tr>
      <w:tr w14:paraId="5F4491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4261" w:type="dxa"/>
            <w:vAlign w:val="center"/>
          </w:tcPr>
          <w:p w14:paraId="433EB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2026-09-07</w:t>
            </w:r>
          </w:p>
        </w:tc>
        <w:tc>
          <w:tcPr>
            <w:tcW w:w="4261" w:type="dxa"/>
            <w:vAlign w:val="center"/>
          </w:tcPr>
          <w:p w14:paraId="739FA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962</w:t>
            </w:r>
          </w:p>
        </w:tc>
      </w:tr>
      <w:tr w14:paraId="137F2D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4261" w:type="dxa"/>
            <w:vAlign w:val="center"/>
          </w:tcPr>
          <w:p w14:paraId="24617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2026-09-08</w:t>
            </w:r>
          </w:p>
        </w:tc>
        <w:tc>
          <w:tcPr>
            <w:tcW w:w="4261" w:type="dxa"/>
            <w:vAlign w:val="center"/>
          </w:tcPr>
          <w:p w14:paraId="03774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979</w:t>
            </w:r>
          </w:p>
        </w:tc>
      </w:tr>
      <w:tr w14:paraId="3D0374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4261" w:type="dxa"/>
            <w:vAlign w:val="center"/>
          </w:tcPr>
          <w:p w14:paraId="478F3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2026-09-09</w:t>
            </w:r>
          </w:p>
        </w:tc>
        <w:tc>
          <w:tcPr>
            <w:tcW w:w="4261" w:type="dxa"/>
            <w:vAlign w:val="center"/>
          </w:tcPr>
          <w:p w14:paraId="20EE1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985</w:t>
            </w:r>
          </w:p>
        </w:tc>
      </w:tr>
      <w:tr w14:paraId="2BDD14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4261" w:type="dxa"/>
            <w:vAlign w:val="center"/>
          </w:tcPr>
          <w:p w14:paraId="0477B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2026-09-10</w:t>
            </w:r>
          </w:p>
        </w:tc>
        <w:tc>
          <w:tcPr>
            <w:tcW w:w="4261" w:type="dxa"/>
            <w:vAlign w:val="center"/>
          </w:tcPr>
          <w:p w14:paraId="7F8AF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985</w:t>
            </w:r>
          </w:p>
        </w:tc>
      </w:tr>
      <w:tr w14:paraId="6036F3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4261" w:type="dxa"/>
            <w:vAlign w:val="center"/>
          </w:tcPr>
          <w:p w14:paraId="1D88D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2026-09-11</w:t>
            </w:r>
          </w:p>
        </w:tc>
        <w:tc>
          <w:tcPr>
            <w:tcW w:w="4261" w:type="dxa"/>
            <w:vAlign w:val="center"/>
          </w:tcPr>
          <w:p w14:paraId="5CDDD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984</w:t>
            </w:r>
          </w:p>
        </w:tc>
      </w:tr>
      <w:tr w14:paraId="7B0FB2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4261" w:type="dxa"/>
            <w:vAlign w:val="center"/>
          </w:tcPr>
          <w:p w14:paraId="65382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2026-09-14</w:t>
            </w:r>
          </w:p>
        </w:tc>
        <w:tc>
          <w:tcPr>
            <w:tcW w:w="4261" w:type="dxa"/>
            <w:vAlign w:val="center"/>
          </w:tcPr>
          <w:p w14:paraId="6E804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980</w:t>
            </w:r>
          </w:p>
        </w:tc>
      </w:tr>
      <w:tr w14:paraId="587D01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4261" w:type="dxa"/>
            <w:vAlign w:val="center"/>
          </w:tcPr>
          <w:p w14:paraId="7999B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2026-09-15</w:t>
            </w:r>
          </w:p>
        </w:tc>
        <w:tc>
          <w:tcPr>
            <w:tcW w:w="4261" w:type="dxa"/>
            <w:vAlign w:val="center"/>
          </w:tcPr>
          <w:p w14:paraId="0E04A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976</w:t>
            </w:r>
          </w:p>
        </w:tc>
      </w:tr>
      <w:tr w14:paraId="085278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4261" w:type="dxa"/>
            <w:vAlign w:val="center"/>
          </w:tcPr>
          <w:p w14:paraId="5EA5A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2026-09-16</w:t>
            </w:r>
          </w:p>
        </w:tc>
        <w:tc>
          <w:tcPr>
            <w:tcW w:w="4261" w:type="dxa"/>
            <w:vAlign w:val="center"/>
          </w:tcPr>
          <w:p w14:paraId="25DE0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975</w:t>
            </w:r>
          </w:p>
        </w:tc>
      </w:tr>
      <w:tr w14:paraId="1C0409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4261" w:type="dxa"/>
            <w:vAlign w:val="center"/>
          </w:tcPr>
          <w:p w14:paraId="743F9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2026-09-17</w:t>
            </w:r>
          </w:p>
        </w:tc>
        <w:tc>
          <w:tcPr>
            <w:tcW w:w="4261" w:type="dxa"/>
            <w:vAlign w:val="center"/>
          </w:tcPr>
          <w:p w14:paraId="70CE3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975</w:t>
            </w:r>
          </w:p>
        </w:tc>
      </w:tr>
      <w:tr w14:paraId="660798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4261" w:type="dxa"/>
            <w:vAlign w:val="center"/>
          </w:tcPr>
          <w:p w14:paraId="3AD1F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2026-09-18</w:t>
            </w:r>
          </w:p>
        </w:tc>
        <w:tc>
          <w:tcPr>
            <w:tcW w:w="4261" w:type="dxa"/>
            <w:vAlign w:val="center"/>
          </w:tcPr>
          <w:p w14:paraId="78746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977</w:t>
            </w:r>
          </w:p>
        </w:tc>
      </w:tr>
      <w:tr w14:paraId="001EA2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4261" w:type="dxa"/>
            <w:vAlign w:val="center"/>
          </w:tcPr>
          <w:p w14:paraId="74634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2026-09-20</w:t>
            </w:r>
          </w:p>
        </w:tc>
        <w:tc>
          <w:tcPr>
            <w:tcW w:w="4261" w:type="dxa"/>
            <w:vAlign w:val="center"/>
          </w:tcPr>
          <w:p w14:paraId="6A3FA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979</w:t>
            </w:r>
          </w:p>
        </w:tc>
      </w:tr>
      <w:tr w14:paraId="16B19B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4261" w:type="dxa"/>
            <w:vAlign w:val="center"/>
          </w:tcPr>
          <w:p w14:paraId="3B6AF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2026-09-21</w:t>
            </w:r>
          </w:p>
        </w:tc>
        <w:tc>
          <w:tcPr>
            <w:tcW w:w="4261" w:type="dxa"/>
            <w:vAlign w:val="center"/>
          </w:tcPr>
          <w:p w14:paraId="3277E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981</w:t>
            </w:r>
          </w:p>
        </w:tc>
      </w:tr>
      <w:tr w14:paraId="55DF57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4261" w:type="dxa"/>
            <w:vAlign w:val="center"/>
          </w:tcPr>
          <w:p w14:paraId="1734C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2026-09-22</w:t>
            </w:r>
          </w:p>
        </w:tc>
        <w:tc>
          <w:tcPr>
            <w:tcW w:w="4261" w:type="dxa"/>
            <w:vAlign w:val="center"/>
          </w:tcPr>
          <w:p w14:paraId="3AD3B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983</w:t>
            </w:r>
          </w:p>
        </w:tc>
      </w:tr>
      <w:tr w14:paraId="6B8896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261" w:type="dxa"/>
            <w:vAlign w:val="center"/>
          </w:tcPr>
          <w:p w14:paraId="01EE2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2026-09-23</w:t>
            </w:r>
          </w:p>
        </w:tc>
        <w:tc>
          <w:tcPr>
            <w:tcW w:w="4261" w:type="dxa"/>
            <w:vAlign w:val="center"/>
          </w:tcPr>
          <w:p w14:paraId="22DF3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985</w:t>
            </w:r>
          </w:p>
        </w:tc>
      </w:tr>
      <w:tr w14:paraId="751424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261" w:type="dxa"/>
            <w:vAlign w:val="center"/>
          </w:tcPr>
          <w:p w14:paraId="5D553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2026-09-24</w:t>
            </w:r>
          </w:p>
        </w:tc>
        <w:tc>
          <w:tcPr>
            <w:tcW w:w="4261" w:type="dxa"/>
            <w:vAlign w:val="center"/>
          </w:tcPr>
          <w:p w14:paraId="2EE13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986</w:t>
            </w:r>
          </w:p>
        </w:tc>
      </w:tr>
      <w:tr w14:paraId="3A613C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261" w:type="dxa"/>
            <w:vAlign w:val="center"/>
          </w:tcPr>
          <w:p w14:paraId="06BC4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2026-09-28</w:t>
            </w:r>
          </w:p>
        </w:tc>
        <w:tc>
          <w:tcPr>
            <w:tcW w:w="4261" w:type="dxa"/>
            <w:vAlign w:val="center"/>
          </w:tcPr>
          <w:p w14:paraId="77526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986</w:t>
            </w:r>
          </w:p>
        </w:tc>
      </w:tr>
      <w:tr w14:paraId="08B8C2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261" w:type="dxa"/>
            <w:vAlign w:val="center"/>
          </w:tcPr>
          <w:p w14:paraId="4E70C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2026-09-29</w:t>
            </w:r>
          </w:p>
        </w:tc>
        <w:tc>
          <w:tcPr>
            <w:tcW w:w="4261" w:type="dxa"/>
            <w:vAlign w:val="center"/>
          </w:tcPr>
          <w:p w14:paraId="26EF0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986</w:t>
            </w:r>
          </w:p>
        </w:tc>
      </w:tr>
      <w:tr w14:paraId="497B42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261" w:type="dxa"/>
            <w:vAlign w:val="center"/>
          </w:tcPr>
          <w:p w14:paraId="05373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2026-09-30</w:t>
            </w:r>
          </w:p>
        </w:tc>
        <w:tc>
          <w:tcPr>
            <w:tcW w:w="4261" w:type="dxa"/>
            <w:vAlign w:val="center"/>
          </w:tcPr>
          <w:p w14:paraId="7ED1E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986</w:t>
            </w:r>
          </w:p>
        </w:tc>
      </w:tr>
    </w:tbl>
    <w:p w14:paraId="0F4FCDC7">
      <w:pPr>
        <w:rPr>
          <w:rFonts w:hint="eastAsia" w:eastAsiaTheme="minorEastAsia"/>
          <w:sz w:val="24"/>
          <w:szCs w:val="24"/>
          <w:lang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60FCB4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E49842E">
                          <w:pPr>
                            <w:pStyle w:val="2"/>
                          </w:pPr>
                          <w:r>
                            <w:t>—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E49842E">
                    <w:pPr>
                      <w:pStyle w:val="2"/>
                    </w:pPr>
                    <w:r>
                      <w:t>—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</w:t>
                    </w:r>
                    <w: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D40502"/>
    <w:rsid w:val="00920750"/>
    <w:rsid w:val="01432248"/>
    <w:rsid w:val="0167398B"/>
    <w:rsid w:val="01AF4735"/>
    <w:rsid w:val="0211513C"/>
    <w:rsid w:val="05AC4062"/>
    <w:rsid w:val="06660E3F"/>
    <w:rsid w:val="06BA57E0"/>
    <w:rsid w:val="072E6CF9"/>
    <w:rsid w:val="078A03D3"/>
    <w:rsid w:val="0803189C"/>
    <w:rsid w:val="08DF64FD"/>
    <w:rsid w:val="0D6D057B"/>
    <w:rsid w:val="0E550513"/>
    <w:rsid w:val="10757746"/>
    <w:rsid w:val="127A7296"/>
    <w:rsid w:val="13B63AED"/>
    <w:rsid w:val="13DE3088"/>
    <w:rsid w:val="14394404"/>
    <w:rsid w:val="161C31B1"/>
    <w:rsid w:val="177C13BA"/>
    <w:rsid w:val="195F55F7"/>
    <w:rsid w:val="19874772"/>
    <w:rsid w:val="19E914B0"/>
    <w:rsid w:val="1A4E4106"/>
    <w:rsid w:val="1BF22C95"/>
    <w:rsid w:val="1D796AC8"/>
    <w:rsid w:val="1E043291"/>
    <w:rsid w:val="1F59624F"/>
    <w:rsid w:val="1FA85442"/>
    <w:rsid w:val="20684BD2"/>
    <w:rsid w:val="21B7404D"/>
    <w:rsid w:val="221407BA"/>
    <w:rsid w:val="23812D8B"/>
    <w:rsid w:val="24A7669A"/>
    <w:rsid w:val="254E4FC8"/>
    <w:rsid w:val="26083FB3"/>
    <w:rsid w:val="27781B9E"/>
    <w:rsid w:val="29982084"/>
    <w:rsid w:val="2A644741"/>
    <w:rsid w:val="2AD70597"/>
    <w:rsid w:val="2B1F592B"/>
    <w:rsid w:val="2B54134E"/>
    <w:rsid w:val="2C0E487F"/>
    <w:rsid w:val="2CD86C3B"/>
    <w:rsid w:val="2D4B3F9E"/>
    <w:rsid w:val="30C6397A"/>
    <w:rsid w:val="30C714A1"/>
    <w:rsid w:val="30F73B34"/>
    <w:rsid w:val="310F7B6C"/>
    <w:rsid w:val="32586854"/>
    <w:rsid w:val="36B6623F"/>
    <w:rsid w:val="372C6501"/>
    <w:rsid w:val="376E2676"/>
    <w:rsid w:val="37DF532B"/>
    <w:rsid w:val="39161217"/>
    <w:rsid w:val="39236F5E"/>
    <w:rsid w:val="39F5707E"/>
    <w:rsid w:val="3B2746C2"/>
    <w:rsid w:val="3B94607C"/>
    <w:rsid w:val="3E530817"/>
    <w:rsid w:val="40B57568"/>
    <w:rsid w:val="40D53212"/>
    <w:rsid w:val="42263A9C"/>
    <w:rsid w:val="425828A0"/>
    <w:rsid w:val="43D736D0"/>
    <w:rsid w:val="4464552C"/>
    <w:rsid w:val="44735770"/>
    <w:rsid w:val="44E9255A"/>
    <w:rsid w:val="4541083E"/>
    <w:rsid w:val="4557299B"/>
    <w:rsid w:val="48315726"/>
    <w:rsid w:val="492C76F0"/>
    <w:rsid w:val="4A426CA7"/>
    <w:rsid w:val="4BAD134B"/>
    <w:rsid w:val="4BBA2153"/>
    <w:rsid w:val="4D39609E"/>
    <w:rsid w:val="4EC07B5F"/>
    <w:rsid w:val="4FE4386B"/>
    <w:rsid w:val="4FF754A7"/>
    <w:rsid w:val="5015592D"/>
    <w:rsid w:val="5047382B"/>
    <w:rsid w:val="50DB6B76"/>
    <w:rsid w:val="51275918"/>
    <w:rsid w:val="51CD2963"/>
    <w:rsid w:val="530E1CB2"/>
    <w:rsid w:val="55B2299A"/>
    <w:rsid w:val="55C41661"/>
    <w:rsid w:val="56030027"/>
    <w:rsid w:val="56B338B1"/>
    <w:rsid w:val="57144B90"/>
    <w:rsid w:val="588C28C0"/>
    <w:rsid w:val="594E294F"/>
    <w:rsid w:val="59E147C2"/>
    <w:rsid w:val="5C961BA3"/>
    <w:rsid w:val="5D2B49E2"/>
    <w:rsid w:val="5DF30202"/>
    <w:rsid w:val="5E7D3415"/>
    <w:rsid w:val="5E9E63A4"/>
    <w:rsid w:val="60FF240D"/>
    <w:rsid w:val="614D4BC3"/>
    <w:rsid w:val="62037CDB"/>
    <w:rsid w:val="62053A53"/>
    <w:rsid w:val="62586279"/>
    <w:rsid w:val="62CF5E0F"/>
    <w:rsid w:val="631A3E21"/>
    <w:rsid w:val="640967E0"/>
    <w:rsid w:val="643248A8"/>
    <w:rsid w:val="6526724A"/>
    <w:rsid w:val="6733671C"/>
    <w:rsid w:val="6A0D6157"/>
    <w:rsid w:val="6A6459FF"/>
    <w:rsid w:val="6ADC009F"/>
    <w:rsid w:val="6BFB1A23"/>
    <w:rsid w:val="6D450781"/>
    <w:rsid w:val="6D611D5A"/>
    <w:rsid w:val="6DAB4FF7"/>
    <w:rsid w:val="6E337B9A"/>
    <w:rsid w:val="6E3B6A4F"/>
    <w:rsid w:val="6ED25258"/>
    <w:rsid w:val="70E470C7"/>
    <w:rsid w:val="71CD20B4"/>
    <w:rsid w:val="72196DB9"/>
    <w:rsid w:val="725E0BCA"/>
    <w:rsid w:val="72F4216D"/>
    <w:rsid w:val="74367A9C"/>
    <w:rsid w:val="76554294"/>
    <w:rsid w:val="77F008AA"/>
    <w:rsid w:val="78323426"/>
    <w:rsid w:val="787119EB"/>
    <w:rsid w:val="78CB4E4A"/>
    <w:rsid w:val="78D40502"/>
    <w:rsid w:val="79A92498"/>
    <w:rsid w:val="7A030358"/>
    <w:rsid w:val="7E8B66BC"/>
    <w:rsid w:val="7E8D7BFD"/>
    <w:rsid w:val="7E9E017F"/>
    <w:rsid w:val="7EA85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963</Words>
  <Characters>1373</Characters>
  <Lines>0</Lines>
  <Paragraphs>0</Paragraphs>
  <TotalTime>1</TotalTime>
  <ScaleCrop>false</ScaleCrop>
  <LinksUpToDate>false</LinksUpToDate>
  <CharactersWithSpaces>1373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2025-10-30T06:35:00Z</dcterms:created>
  <dc:creator>因缺思厅</dc:creator>
  <cp:lastModifiedBy>因缺思厅</cp:lastModifiedBy>
  <cp:lastPrinted>2026-10-14T01:46:00Z</cp:lastPrinted>
  <dcterms:modified xsi:type="dcterms:W3CDTF">2026-10-20T06:08:42Z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0867A6B1BA404FF88EA3E3D51E42C48B_11</vt:lpwstr>
  </property>
  <property fmtid="{D5CDD505-2E9C-101B-9397-08002B2CF9AE}" pid="4" name="KSOTemplateDocerSaveRecord">
    <vt:lpwstr>eyJoZGlkIjoiY2EzMTA1MzhiMTVmNTk5OTUzMTgyZGVkMDAxYjZmNzIiLCJ1c2VySWQiOiI0MzIwNTA1MzUifQ==</vt:lpwstr>
  </property>
</Properties>
</file>