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51349"/>
    <w:p w14:paraId="32E77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兴化热电有限责任公司</w:t>
      </w:r>
    </w:p>
    <w:p w14:paraId="6BDDC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年第三季度供热价格联动方案</w:t>
      </w:r>
    </w:p>
    <w:p w14:paraId="5E3151A0"/>
    <w:p w14:paraId="5713B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根据中国煤炭资源网发布的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季度秦皇岛港动力煤</w:t>
      </w:r>
      <w:r>
        <w:rPr>
          <w:rFonts w:hint="eastAsia" w:ascii="Times New Roman" w:hAnsi="Times New Roman" w:eastAsia="仿宋_GB2312" w:cs="仿宋_GB2312"/>
          <w:sz w:val="32"/>
          <w:szCs w:val="32"/>
        </w:rPr>
        <w:t>5500</w:t>
      </w:r>
      <w:r>
        <w:rPr>
          <w:rFonts w:hint="eastAsia" w:ascii="仿宋_GB2312" w:hAnsi="仿宋_GB2312" w:eastAsia="仿宋_GB2312" w:cs="仿宋_GB2312"/>
          <w:sz w:val="32"/>
          <w:szCs w:val="32"/>
        </w:rPr>
        <w:t>大卡混煤港口价格指数,初步拟定兴化热电有限责任公司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季度供热价格联动方案。</w:t>
      </w:r>
    </w:p>
    <w:p w14:paraId="71EE4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一、政策依据及规定</w:t>
      </w:r>
    </w:p>
    <w:p w14:paraId="7C524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.《江苏省定价目录》(苏发改规发</w:t>
      </w:r>
      <w:r>
        <w:rPr>
          <w:rFonts w:hint="eastAsia" w:ascii="楷体_GB2312" w:hAnsi="楷体_GB2312" w:eastAsia="楷体_GB2312" w:cs="楷体_GB2312"/>
          <w:sz w:val="32"/>
          <w:szCs w:val="32"/>
        </w:rPr>
        <w:t>〔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2023</w:t>
      </w:r>
      <w:r>
        <w:rPr>
          <w:rFonts w:hint="eastAsia" w:ascii="楷体_GB2312" w:hAnsi="楷体_GB2312" w:eastAsia="楷体_GB2312" w:cs="楷体_GB2312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号)规定，供热价格授权市、县人民政府定价。</w:t>
      </w:r>
    </w:p>
    <w:p w14:paraId="4A856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.《兴化市热电联产企业煤热价格联动办法》(兴价</w:t>
      </w:r>
      <w:r>
        <w:rPr>
          <w:rFonts w:hint="eastAsia" w:ascii="楷体_GB2312" w:hAnsi="楷体_GB2312" w:eastAsia="楷体_GB2312" w:cs="楷体_GB2312"/>
          <w:sz w:val="32"/>
          <w:szCs w:val="32"/>
        </w:rPr>
        <w:t>〔</w:t>
      </w:r>
      <w:r>
        <w:rPr>
          <w:rFonts w:hint="default" w:ascii="Times New Roman" w:hAnsi="Times New Roman" w:eastAsia="楷体_GB2312" w:cs="Times New Roman"/>
          <w:sz w:val="32"/>
          <w:szCs w:val="32"/>
        </w:rPr>
        <w:t>20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15</w:t>
      </w:r>
      <w:r>
        <w:rPr>
          <w:rFonts w:hint="eastAsia" w:ascii="楷体_GB2312" w:hAnsi="楷体_GB2312" w:eastAsia="楷体_GB2312" w:cs="楷体_GB2312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号)。煤热价格联动比价，按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吨</w:t>
      </w:r>
      <w:r>
        <w:rPr>
          <w:rFonts w:hint="eastAsia" w:ascii="Times New Roman" w:hAnsi="Times New Roman" w:eastAsia="仿宋_GB2312" w:cs="仿宋_GB2312"/>
          <w:sz w:val="32"/>
          <w:szCs w:val="32"/>
        </w:rPr>
        <w:t>7000</w:t>
      </w:r>
      <w:r>
        <w:rPr>
          <w:rFonts w:hint="eastAsia" w:ascii="仿宋_GB2312" w:hAnsi="仿宋_GB2312" w:eastAsia="仿宋_GB2312" w:cs="仿宋_GB2312"/>
          <w:sz w:val="32"/>
          <w:szCs w:val="32"/>
        </w:rPr>
        <w:t>大卡标煤生产</w:t>
      </w:r>
      <w:r>
        <w:rPr>
          <w:rFonts w:hint="eastAsia"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吨蒸汽计算，以及煤价变动分摊比例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20%:80%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，确定联动系数为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Times New Roman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，即标煤均价每上涨或下降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元，供热价格相应上涨或下降</w:t>
      </w:r>
      <w:r>
        <w:rPr>
          <w:rFonts w:hint="eastAsia" w:ascii="Times New Roman" w:hAnsi="Times New Roman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15349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、煤炭价格指数变动情况</w:t>
      </w:r>
    </w:p>
    <w:p w14:paraId="19B3E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中国煤炭资源网发布的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季度价格指数,秦皇岛港动力煤</w:t>
      </w:r>
      <w:r>
        <w:rPr>
          <w:rFonts w:hint="eastAsia" w:ascii="Times New Roman" w:hAnsi="Times New Roman" w:eastAsia="仿宋_GB2312" w:cs="仿宋_GB2312"/>
          <w:sz w:val="32"/>
          <w:szCs w:val="32"/>
        </w:rPr>
        <w:t>5500</w:t>
      </w:r>
      <w:r>
        <w:rPr>
          <w:rFonts w:hint="eastAsia" w:ascii="仿宋_GB2312" w:hAnsi="仿宋_GB2312" w:eastAsia="仿宋_GB2312" w:cs="仿宋_GB2312"/>
          <w:sz w:val="32"/>
          <w:szCs w:val="32"/>
        </w:rPr>
        <w:t>大卡混煤港口平仓均价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633.31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，折算为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大卡混煤</w:t>
      </w:r>
      <w:r>
        <w:rPr>
          <w:rFonts w:hint="eastAsia" w:ascii="仿宋_GB2312" w:hAnsi="仿宋_GB2312" w:eastAsia="仿宋_GB2312" w:cs="仿宋_GB2312"/>
          <w:sz w:val="32"/>
          <w:szCs w:val="32"/>
        </w:rPr>
        <w:t>皇岛港口价格为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806.03</w:t>
      </w:r>
      <w:r>
        <w:rPr>
          <w:rFonts w:hint="eastAsia" w:ascii="仿宋_GB2312" w:hAnsi="仿宋_GB2312" w:eastAsia="仿宋_GB2312" w:cs="仿宋_GB2312"/>
          <w:sz w:val="32"/>
          <w:szCs w:val="32"/>
        </w:rPr>
        <w:t>元/吨。</w:t>
      </w:r>
    </w:p>
    <w:p w14:paraId="5D971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供热价格联动调整初步方案</w:t>
      </w:r>
    </w:p>
    <w:p w14:paraId="792C6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根据市场煤炭价格变化情况和联动系数，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季度兴化热电有限公司供热价格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调整为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215.78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元/吨(比现执行价格下降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11.45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元/吨)。超低排放加价仍按原规定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元/吨执行。</w:t>
      </w:r>
      <w:bookmarkStart w:id="0" w:name="_GoBack"/>
      <w:bookmarkEnd w:id="0"/>
    </w:p>
    <w:p w14:paraId="542FE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四、执行时间</w:t>
      </w:r>
    </w:p>
    <w:p w14:paraId="0DFEB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执行时间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日供热量(抄表量)起执行。</w:t>
      </w:r>
    </w:p>
    <w:p w14:paraId="04D62605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附表：</w:t>
      </w:r>
    </w:p>
    <w:p w14:paraId="429C4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秦皇岛港动力煤</w:t>
      </w:r>
      <w:r>
        <w:rPr>
          <w:rFonts w:hint="eastAsia" w:ascii="Times New Roman" w:hAnsi="Times New Roman" w:eastAsia="方正小标宋简体" w:cs="方正小标宋简体"/>
          <w:color w:val="auto"/>
          <w:sz w:val="32"/>
          <w:szCs w:val="32"/>
        </w:rPr>
        <w:t>5500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大卡混煤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价格表</w:t>
      </w:r>
    </w:p>
    <w:p w14:paraId="07F71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仿宋_GB231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月-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月）</w:t>
      </w:r>
    </w:p>
    <w:p w14:paraId="0683A6A5">
      <w:pPr>
        <w:jc w:val="right"/>
        <w:rPr>
          <w:rFonts w:hint="eastAsia"/>
          <w:lang w:eastAsia="zh-CN"/>
        </w:rPr>
      </w:pPr>
    </w:p>
    <w:p w14:paraId="48FDC04C">
      <w:pPr>
        <w:jc w:val="righ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单位：元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/吨</w:t>
      </w:r>
    </w:p>
    <w:p w14:paraId="0EF53F26"/>
    <w:tbl>
      <w:tblPr>
        <w:tblStyle w:val="4"/>
        <w:tblpPr w:leftFromText="180" w:rightFromText="180" w:vertAnchor="text" w:horzAnchor="page" w:tblpX="1800" w:tblpY="-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551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9F23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2130" w:type="dxa"/>
            <w:vAlign w:val="center"/>
          </w:tcPr>
          <w:p w14:paraId="2B8FA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价格</w:t>
            </w:r>
          </w:p>
        </w:tc>
        <w:tc>
          <w:tcPr>
            <w:tcW w:w="2131" w:type="dxa"/>
            <w:vAlign w:val="center"/>
          </w:tcPr>
          <w:p w14:paraId="38F1F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2131" w:type="dxa"/>
            <w:vAlign w:val="center"/>
          </w:tcPr>
          <w:p w14:paraId="55449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价格</w:t>
            </w:r>
          </w:p>
        </w:tc>
      </w:tr>
      <w:tr w14:paraId="48FC8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 w14:paraId="38BD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2130" w:type="dxa"/>
            <w:vAlign w:val="center"/>
          </w:tcPr>
          <w:p w14:paraId="34A0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A00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EA2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</w:tr>
      <w:tr w14:paraId="2BE5D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A92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2025-06-27</w:t>
            </w:r>
          </w:p>
        </w:tc>
        <w:tc>
          <w:tcPr>
            <w:tcW w:w="2130" w:type="dxa"/>
            <w:vAlign w:val="center"/>
          </w:tcPr>
          <w:p w14:paraId="645D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17E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A01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</w:tr>
      <w:tr w14:paraId="5B473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CC9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2025-06-26</w:t>
            </w:r>
          </w:p>
        </w:tc>
        <w:tc>
          <w:tcPr>
            <w:tcW w:w="2130" w:type="dxa"/>
            <w:vAlign w:val="center"/>
          </w:tcPr>
          <w:p w14:paraId="46AE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DFE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4E9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</w:tr>
      <w:tr w14:paraId="12C0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667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2025-06-25</w:t>
            </w:r>
          </w:p>
        </w:tc>
        <w:tc>
          <w:tcPr>
            <w:tcW w:w="2130" w:type="dxa"/>
            <w:vAlign w:val="center"/>
          </w:tcPr>
          <w:p w14:paraId="7DDA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21B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56F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</w:tr>
      <w:tr w14:paraId="670B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7CF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2025-06-24</w:t>
            </w:r>
          </w:p>
        </w:tc>
        <w:tc>
          <w:tcPr>
            <w:tcW w:w="2130" w:type="dxa"/>
            <w:vAlign w:val="center"/>
          </w:tcPr>
          <w:p w14:paraId="30A2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BE0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A73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</w:tr>
      <w:tr w14:paraId="7956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E4A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2025-06-23</w:t>
            </w:r>
          </w:p>
        </w:tc>
        <w:tc>
          <w:tcPr>
            <w:tcW w:w="2130" w:type="dxa"/>
            <w:vAlign w:val="center"/>
          </w:tcPr>
          <w:p w14:paraId="2CE0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C44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0BA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</w:tr>
      <w:tr w14:paraId="4E3F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A1D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2025-06-20</w:t>
            </w:r>
          </w:p>
        </w:tc>
        <w:tc>
          <w:tcPr>
            <w:tcW w:w="2130" w:type="dxa"/>
            <w:vAlign w:val="center"/>
          </w:tcPr>
          <w:p w14:paraId="4FB7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A11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A33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</w:tr>
      <w:tr w14:paraId="066B5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DD9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2025-06-19</w:t>
            </w:r>
          </w:p>
        </w:tc>
        <w:tc>
          <w:tcPr>
            <w:tcW w:w="2130" w:type="dxa"/>
            <w:vAlign w:val="center"/>
          </w:tcPr>
          <w:p w14:paraId="789F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461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2025-05-06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150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</w:tr>
      <w:tr w14:paraId="24B3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7C9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2025-06-18</w:t>
            </w:r>
          </w:p>
        </w:tc>
        <w:tc>
          <w:tcPr>
            <w:tcW w:w="2130" w:type="dxa"/>
            <w:vAlign w:val="center"/>
          </w:tcPr>
          <w:p w14:paraId="37AB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EB9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2025-04-30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4A4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</w:tr>
      <w:tr w14:paraId="5EC66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2EF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2025-06-17</w:t>
            </w:r>
          </w:p>
        </w:tc>
        <w:tc>
          <w:tcPr>
            <w:tcW w:w="2130" w:type="dxa"/>
            <w:vAlign w:val="center"/>
          </w:tcPr>
          <w:p w14:paraId="598F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3A4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2025-04-29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308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</w:tr>
      <w:tr w14:paraId="50B6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D1F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2025-06-16</w:t>
            </w:r>
          </w:p>
        </w:tc>
        <w:tc>
          <w:tcPr>
            <w:tcW w:w="2130" w:type="dxa"/>
            <w:vAlign w:val="center"/>
          </w:tcPr>
          <w:p w14:paraId="3228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294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2025-04-28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0F1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</w:tr>
      <w:tr w14:paraId="679AB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6B0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2025-06-13</w:t>
            </w:r>
          </w:p>
        </w:tc>
        <w:tc>
          <w:tcPr>
            <w:tcW w:w="2130" w:type="dxa"/>
            <w:vAlign w:val="center"/>
          </w:tcPr>
          <w:p w14:paraId="033A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7D5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2025-04-27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592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</w:tr>
      <w:tr w14:paraId="3C7C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20C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2130" w:type="dxa"/>
            <w:vAlign w:val="center"/>
          </w:tcPr>
          <w:p w14:paraId="39DE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1A6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2025-04-25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E15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</w:tr>
      <w:tr w14:paraId="16AC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BFA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2130" w:type="dxa"/>
            <w:vAlign w:val="center"/>
          </w:tcPr>
          <w:p w14:paraId="0B68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7B3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E75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</w:tr>
      <w:tr w14:paraId="011D7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DF2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2130" w:type="dxa"/>
            <w:vAlign w:val="center"/>
          </w:tcPr>
          <w:p w14:paraId="175D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F93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B64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</w:tr>
      <w:tr w14:paraId="4407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EE6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2130" w:type="dxa"/>
            <w:vAlign w:val="center"/>
          </w:tcPr>
          <w:p w14:paraId="7DB1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294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C42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</w:tr>
      <w:tr w14:paraId="1198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2A6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2130" w:type="dxa"/>
            <w:vAlign w:val="center"/>
          </w:tcPr>
          <w:p w14:paraId="57D2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5AA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2025-04-21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F0B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</w:tr>
      <w:tr w14:paraId="0FE3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D86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2130" w:type="dxa"/>
            <w:vAlign w:val="center"/>
          </w:tcPr>
          <w:p w14:paraId="58E9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4F0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2025-04-18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739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</w:tr>
      <w:tr w14:paraId="47780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A2D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2130" w:type="dxa"/>
            <w:vAlign w:val="center"/>
          </w:tcPr>
          <w:p w14:paraId="00BC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C9C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CE0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</w:tr>
      <w:tr w14:paraId="2347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F12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2130" w:type="dxa"/>
            <w:vAlign w:val="center"/>
          </w:tcPr>
          <w:p w14:paraId="0DC0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64D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864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</w:tr>
      <w:tr w14:paraId="5A36C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BF9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2130" w:type="dxa"/>
            <w:vAlign w:val="center"/>
          </w:tcPr>
          <w:p w14:paraId="370B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4E0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347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</w:tr>
      <w:tr w14:paraId="7039E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1F7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2130" w:type="dxa"/>
            <w:vAlign w:val="center"/>
          </w:tcPr>
          <w:p w14:paraId="3AD6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11E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087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</w:tr>
      <w:tr w14:paraId="7211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850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2130" w:type="dxa"/>
            <w:vAlign w:val="center"/>
          </w:tcPr>
          <w:p w14:paraId="52AA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775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2AB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</w:tr>
      <w:tr w14:paraId="1EA7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685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2130" w:type="dxa"/>
            <w:vAlign w:val="center"/>
          </w:tcPr>
          <w:p w14:paraId="0016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B80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94D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</w:tr>
      <w:tr w14:paraId="5CBD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3D7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2130" w:type="dxa"/>
            <w:vAlign w:val="center"/>
          </w:tcPr>
          <w:p w14:paraId="73BC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8EC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A22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</w:tr>
      <w:tr w14:paraId="0816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D5B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2025-05-23</w:t>
            </w:r>
          </w:p>
        </w:tc>
        <w:tc>
          <w:tcPr>
            <w:tcW w:w="2130" w:type="dxa"/>
            <w:vAlign w:val="center"/>
          </w:tcPr>
          <w:p w14:paraId="389A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A3F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A6E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</w:tr>
      <w:tr w14:paraId="278CB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B78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2130" w:type="dxa"/>
            <w:vAlign w:val="center"/>
          </w:tcPr>
          <w:p w14:paraId="0AD9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5F3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6FD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</w:tr>
      <w:tr w14:paraId="58560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08D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2130" w:type="dxa"/>
            <w:vAlign w:val="center"/>
          </w:tcPr>
          <w:p w14:paraId="78AF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3C1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2025-04-03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9E3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</w:tr>
      <w:tr w14:paraId="32A1F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314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2130" w:type="dxa"/>
            <w:vAlign w:val="center"/>
          </w:tcPr>
          <w:p w14:paraId="60F2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259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61F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</w:tr>
      <w:tr w14:paraId="790D2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6F0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2130" w:type="dxa"/>
            <w:vAlign w:val="center"/>
          </w:tcPr>
          <w:p w14:paraId="64B5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2131" w:type="dxa"/>
            <w:vAlign w:val="center"/>
          </w:tcPr>
          <w:p w14:paraId="355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2131" w:type="dxa"/>
            <w:vAlign w:val="center"/>
          </w:tcPr>
          <w:p w14:paraId="4579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</w:tr>
      <w:tr w14:paraId="38A9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848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2130" w:type="dxa"/>
            <w:vAlign w:val="center"/>
          </w:tcPr>
          <w:p w14:paraId="35E5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2131" w:type="dxa"/>
            <w:vAlign w:val="center"/>
          </w:tcPr>
          <w:p w14:paraId="36E8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 w14:paraId="7747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B01BA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071F3"/>
    <w:rsid w:val="0A40121D"/>
    <w:rsid w:val="0FC22C9A"/>
    <w:rsid w:val="12F071F3"/>
    <w:rsid w:val="220B1BC2"/>
    <w:rsid w:val="2B4D4F30"/>
    <w:rsid w:val="2C755EA1"/>
    <w:rsid w:val="30D95414"/>
    <w:rsid w:val="334417A3"/>
    <w:rsid w:val="36BF165F"/>
    <w:rsid w:val="5EA46FA4"/>
    <w:rsid w:val="657B771F"/>
    <w:rsid w:val="68F00401"/>
    <w:rsid w:val="78006D3F"/>
    <w:rsid w:val="7A124C2E"/>
    <w:rsid w:val="7AA4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516</Characters>
  <Lines>0</Lines>
  <Paragraphs>0</Paragraphs>
  <TotalTime>0</TotalTime>
  <ScaleCrop>false</ScaleCrop>
  <LinksUpToDate>false</LinksUpToDate>
  <CharactersWithSpaces>516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2025-04-11T08:44:00Z</dcterms:created>
  <dc:creator>Administrator</dc:creator>
  <cp:lastModifiedBy>因缺思厅</cp:lastModifiedBy>
  <dcterms:modified xsi:type="dcterms:W3CDTF">2025-07-10T01:04:06Z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977D9F00B6EF4B38AAAFC3F72C3ADC47_11</vt:lpwstr>
  </property>
  <property fmtid="{D5CDD505-2E9C-101B-9397-08002B2CF9AE}" pid="4" name="KSOTemplateDocerSaveRecord">
    <vt:lpwstr>eyJoZGlkIjoiY2EzMTA1MzhiMTVmNTk5OTUzMTgyZGVkMDAxYjZmNzIiLCJ1c2VySWQiOiI0MzIwNTA1MzUifQ==</vt:lpwstr>
  </property>
</Properties>
</file>